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698" w:rsidRDefault="003A31EC">
      <w:pPr>
        <w:pStyle w:val="Standard"/>
        <w:pBdr>
          <w:top w:val="single" w:sz="4" w:space="1" w:color="00000A"/>
          <w:bottom w:val="single" w:sz="4" w:space="1" w:color="00000A"/>
        </w:pBdr>
        <w:jc w:val="center"/>
      </w:pPr>
      <w:bookmarkStart w:id="0" w:name="_GoBack"/>
      <w:bookmarkEnd w:id="0"/>
      <w:r>
        <w:rPr>
          <w:b/>
          <w:sz w:val="52"/>
        </w:rPr>
        <w:t>Relazione annuale RPCT</w:t>
      </w:r>
    </w:p>
    <w:p w:rsidR="00120698" w:rsidRDefault="00120698">
      <w:pPr>
        <w:pStyle w:val="Standard"/>
        <w:pBdr>
          <w:top w:val="single" w:sz="4" w:space="1" w:color="00000A"/>
          <w:bottom w:val="single" w:sz="4" w:space="1" w:color="00000A"/>
        </w:pBdr>
        <w:jc w:val="center"/>
        <w:rPr>
          <w:b/>
          <w:sz w:val="44"/>
        </w:rPr>
      </w:pPr>
    </w:p>
    <w:p w:rsidR="00120698" w:rsidRDefault="003A31EC">
      <w:pPr>
        <w:pStyle w:val="Standard"/>
        <w:pBdr>
          <w:top w:val="single" w:sz="4" w:space="1" w:color="00000A"/>
          <w:bottom w:val="single" w:sz="4" w:space="1" w:color="00000A"/>
        </w:pBdr>
        <w:jc w:val="center"/>
      </w:pPr>
      <w:r>
        <w:rPr>
          <w:b/>
          <w:sz w:val="44"/>
        </w:rPr>
        <w:t>Anno 2021</w:t>
      </w:r>
    </w:p>
    <w:p w:rsidR="00120698" w:rsidRDefault="00120698">
      <w:pPr>
        <w:pStyle w:val="Standard"/>
      </w:pPr>
    </w:p>
    <w:p w:rsidR="00120698" w:rsidRDefault="00120698">
      <w:pPr>
        <w:pStyle w:val="Standard"/>
      </w:pPr>
    </w:p>
    <w:p w:rsidR="00120698" w:rsidRDefault="00120698">
      <w:pPr>
        <w:pStyle w:val="Standard"/>
      </w:pPr>
    </w:p>
    <w:p w:rsidR="00120698" w:rsidRDefault="003A31EC">
      <w:pPr>
        <w:pStyle w:val="Contents1"/>
        <w:pageBreakBefore/>
      </w:pPr>
      <w:r>
        <w:lastRenderedPageBreak/>
        <w:t>INDICE</w:t>
      </w:r>
    </w:p>
    <w:p w:rsidR="00120698" w:rsidRDefault="003A31EC">
      <w:pPr>
        <w:pStyle w:val="Contents1"/>
      </w:pPr>
      <w:r>
        <w:fldChar w:fldCharType="begin"/>
      </w:r>
      <w:r>
        <w:instrText xml:space="preserve"> TOC \o "1-3" \u \h </w:instrText>
      </w:r>
      <w:r>
        <w:fldChar w:fldCharType="separate"/>
      </w:r>
      <w:hyperlink r:id="rId7" w:history="1">
        <w:r>
          <w:t>SEZIONE 1ANAGRAFICA AMMINISTRAZIONE</w:t>
        </w:r>
        <w:r>
          <w:tab/>
          <w:t>3</w:t>
        </w:r>
      </w:hyperlink>
    </w:p>
    <w:p w:rsidR="00120698" w:rsidRDefault="003A31EC">
      <w:pPr>
        <w:pStyle w:val="Contents1"/>
      </w:pPr>
      <w:hyperlink r:id="rId8" w:history="1">
        <w:r>
          <w:t>SEZIONE 2ANAGRAFICA RPCT</w:t>
        </w:r>
        <w:r>
          <w:tab/>
          <w:t>3</w:t>
        </w:r>
      </w:hyperlink>
    </w:p>
    <w:p w:rsidR="00120698" w:rsidRDefault="003A31EC">
      <w:pPr>
        <w:pStyle w:val="Contents1"/>
      </w:pPr>
      <w:hyperlink r:id="rId9" w:history="1">
        <w:r>
          <w:t>SEZIONE 3RENDICONTAZIONE MISURE GENERALI</w:t>
        </w:r>
        <w:r>
          <w:tab/>
          <w:t>3</w:t>
        </w:r>
      </w:hyperlink>
    </w:p>
    <w:p w:rsidR="00120698" w:rsidRDefault="003A31EC">
      <w:pPr>
        <w:pStyle w:val="Contents2"/>
        <w:tabs>
          <w:tab w:val="clear" w:pos="9595"/>
          <w:tab w:val="right" w:leader="dot" w:pos="9878"/>
        </w:tabs>
      </w:pPr>
      <w:hyperlink r:id="rId10" w:history="1">
        <w:r>
          <w:t>3.1Sintesi dell’attuazione delle misure general</w:t>
        </w:r>
        <w:r>
          <w:t xml:space="preserve">i </w:t>
        </w:r>
        <w:r>
          <w:tab/>
          <w:t>3</w:t>
        </w:r>
      </w:hyperlink>
    </w:p>
    <w:p w:rsidR="00120698" w:rsidRDefault="003A31EC">
      <w:pPr>
        <w:pStyle w:val="Contents2"/>
        <w:tabs>
          <w:tab w:val="clear" w:pos="9595"/>
          <w:tab w:val="right" w:leader="dot" w:pos="9878"/>
        </w:tabs>
      </w:pPr>
      <w:hyperlink r:id="rId11" w:history="1">
        <w:r>
          <w:t xml:space="preserve">3.2Codice di comportamento </w:t>
        </w:r>
        <w:r>
          <w:tab/>
          <w:t>4</w:t>
        </w:r>
      </w:hyperlink>
    </w:p>
    <w:p w:rsidR="00120698" w:rsidRDefault="003A31EC">
      <w:pPr>
        <w:pStyle w:val="Contents2"/>
        <w:tabs>
          <w:tab w:val="clear" w:pos="9595"/>
          <w:tab w:val="right" w:leader="dot" w:pos="9878"/>
        </w:tabs>
      </w:pPr>
      <w:hyperlink r:id="rId12" w:history="1">
        <w:r>
          <w:t xml:space="preserve">3.3Rotazione del personale </w:t>
        </w:r>
        <w:r>
          <w:tab/>
          <w:t>4</w:t>
        </w:r>
      </w:hyperlink>
    </w:p>
    <w:p w:rsidR="00120698" w:rsidRDefault="003A31EC">
      <w:pPr>
        <w:pStyle w:val="Contents3"/>
        <w:tabs>
          <w:tab w:val="clear" w:pos="9552"/>
          <w:tab w:val="right" w:leader="dot" w:pos="10118"/>
        </w:tabs>
      </w:pPr>
      <w:hyperlink r:id="rId13" w:history="1">
        <w:r>
          <w:t>3.3.1Rotazione Ordinaria</w:t>
        </w:r>
        <w:r>
          <w:tab/>
          <w:t>4</w:t>
        </w:r>
      </w:hyperlink>
    </w:p>
    <w:p w:rsidR="00120698" w:rsidRDefault="003A31EC">
      <w:pPr>
        <w:pStyle w:val="Contents3"/>
        <w:tabs>
          <w:tab w:val="clear" w:pos="9552"/>
          <w:tab w:val="right" w:leader="dot" w:pos="10118"/>
        </w:tabs>
      </w:pPr>
      <w:hyperlink r:id="rId14" w:history="1">
        <w:r>
          <w:t>3.3.2Rotazione Straordinaria</w:t>
        </w:r>
        <w:r>
          <w:tab/>
          <w:t>4</w:t>
        </w:r>
      </w:hyperlink>
    </w:p>
    <w:p w:rsidR="00120698" w:rsidRDefault="003A31EC">
      <w:pPr>
        <w:pStyle w:val="Contents3"/>
        <w:tabs>
          <w:tab w:val="clear" w:pos="9552"/>
          <w:tab w:val="right" w:leader="dot" w:pos="10118"/>
        </w:tabs>
      </w:pPr>
      <w:hyperlink r:id="rId15" w:history="1">
        <w:r>
          <w:t>3.3.3Trasferimento d’ufficio</w:t>
        </w:r>
        <w:r>
          <w:tab/>
          <w:t>4</w:t>
        </w:r>
      </w:hyperlink>
    </w:p>
    <w:p w:rsidR="00120698" w:rsidRDefault="003A31EC">
      <w:pPr>
        <w:pStyle w:val="Contents2"/>
        <w:tabs>
          <w:tab w:val="clear" w:pos="9595"/>
          <w:tab w:val="right" w:leader="dot" w:pos="9878"/>
        </w:tabs>
      </w:pPr>
      <w:hyperlink r:id="rId16" w:history="1">
        <w:r>
          <w:t xml:space="preserve">3.4Misure in materia di conflitto di interessi </w:t>
        </w:r>
        <w:r>
          <w:tab/>
          <w:t>4</w:t>
        </w:r>
      </w:hyperlink>
    </w:p>
    <w:p w:rsidR="00120698" w:rsidRDefault="003A31EC">
      <w:pPr>
        <w:pStyle w:val="Contents2"/>
        <w:tabs>
          <w:tab w:val="clear" w:pos="9595"/>
          <w:tab w:val="right" w:leader="dot" w:pos="9878"/>
        </w:tabs>
      </w:pPr>
      <w:hyperlink r:id="rId17" w:history="1">
        <w:r>
          <w:t xml:space="preserve">3.5Whistleblowing </w:t>
        </w:r>
        <w:r>
          <w:tab/>
          <w:t>5</w:t>
        </w:r>
      </w:hyperlink>
    </w:p>
    <w:p w:rsidR="00120698" w:rsidRDefault="003A31EC">
      <w:pPr>
        <w:pStyle w:val="Contents2"/>
        <w:tabs>
          <w:tab w:val="clear" w:pos="9595"/>
          <w:tab w:val="right" w:leader="dot" w:pos="9878"/>
        </w:tabs>
      </w:pPr>
      <w:hyperlink r:id="rId18" w:history="1">
        <w:r>
          <w:t xml:space="preserve">3.6Formazione </w:t>
        </w:r>
        <w:r>
          <w:tab/>
          <w:t>5</w:t>
        </w:r>
      </w:hyperlink>
    </w:p>
    <w:p w:rsidR="00120698" w:rsidRDefault="003A31EC">
      <w:pPr>
        <w:pStyle w:val="Contents2"/>
        <w:tabs>
          <w:tab w:val="clear" w:pos="9595"/>
          <w:tab w:val="right" w:leader="dot" w:pos="9878"/>
        </w:tabs>
      </w:pPr>
      <w:hyperlink r:id="rId19" w:history="1">
        <w:r>
          <w:t>3.7Trasparenza</w:t>
        </w:r>
        <w:r>
          <w:tab/>
          <w:t>5</w:t>
        </w:r>
      </w:hyperlink>
    </w:p>
    <w:p w:rsidR="00120698" w:rsidRDefault="003A31EC">
      <w:pPr>
        <w:pStyle w:val="Contents2"/>
        <w:tabs>
          <w:tab w:val="clear" w:pos="9595"/>
          <w:tab w:val="right" w:leader="dot" w:pos="9878"/>
        </w:tabs>
      </w:pPr>
      <w:hyperlink r:id="rId20" w:history="1">
        <w:r>
          <w:t>3.8Pantouflage</w:t>
        </w:r>
        <w:r>
          <w:tab/>
        </w:r>
        <w:r>
          <w:t>6</w:t>
        </w:r>
      </w:hyperlink>
    </w:p>
    <w:p w:rsidR="00120698" w:rsidRDefault="003A31EC">
      <w:pPr>
        <w:pStyle w:val="Contents2"/>
        <w:tabs>
          <w:tab w:val="clear" w:pos="9595"/>
          <w:tab w:val="right" w:leader="dot" w:pos="9878"/>
        </w:tabs>
      </w:pPr>
      <w:hyperlink r:id="rId21" w:history="1">
        <w:r>
          <w:t>3.9Commissioni e conferimento incarichi in caso di condanna</w:t>
        </w:r>
        <w:r>
          <w:tab/>
          <w:t>6</w:t>
        </w:r>
      </w:hyperlink>
    </w:p>
    <w:p w:rsidR="00120698" w:rsidRDefault="003A31EC">
      <w:pPr>
        <w:pStyle w:val="Contents2"/>
        <w:tabs>
          <w:tab w:val="clear" w:pos="9595"/>
          <w:tab w:val="right" w:leader="dot" w:pos="9878"/>
        </w:tabs>
      </w:pPr>
      <w:hyperlink r:id="rId22" w:history="1">
        <w:r>
          <w:t>3.10Patti di integrità</w:t>
        </w:r>
        <w:r>
          <w:tab/>
          <w:t>6</w:t>
        </w:r>
      </w:hyperlink>
    </w:p>
    <w:p w:rsidR="00120698" w:rsidRDefault="003A31EC">
      <w:pPr>
        <w:pStyle w:val="Contents2"/>
        <w:tabs>
          <w:tab w:val="clear" w:pos="9595"/>
          <w:tab w:val="right" w:leader="dot" w:pos="9878"/>
        </w:tabs>
      </w:pPr>
      <w:hyperlink r:id="rId23" w:history="1">
        <w:r>
          <w:t xml:space="preserve">3.11Rapporti con i </w:t>
        </w:r>
        <w:r>
          <w:t>portatori di interessi particolari</w:t>
        </w:r>
        <w:r>
          <w:tab/>
          <w:t>6</w:t>
        </w:r>
      </w:hyperlink>
    </w:p>
    <w:p w:rsidR="00120698" w:rsidRDefault="003A31EC">
      <w:pPr>
        <w:pStyle w:val="Contents2"/>
        <w:tabs>
          <w:tab w:val="clear" w:pos="9595"/>
          <w:tab w:val="right" w:leader="dot" w:pos="9878"/>
        </w:tabs>
      </w:pPr>
      <w:hyperlink r:id="rId24" w:history="1">
        <w:r>
          <w:t>3.12Considerazioni conclusive sull’attuazione delle misure generali</w:t>
        </w:r>
        <w:r>
          <w:tab/>
          <w:t>6</w:t>
        </w:r>
      </w:hyperlink>
    </w:p>
    <w:p w:rsidR="00120698" w:rsidRDefault="003A31EC">
      <w:pPr>
        <w:pStyle w:val="Contents1"/>
      </w:pPr>
      <w:hyperlink r:id="rId25" w:history="1">
        <w:r>
          <w:t>SEZIONE 4RENDICONTAZIONE MISURE SPECIFICHE</w:t>
        </w:r>
        <w:r>
          <w:tab/>
          <w:t>7</w:t>
        </w:r>
      </w:hyperlink>
    </w:p>
    <w:p w:rsidR="00120698" w:rsidRDefault="003A31EC">
      <w:pPr>
        <w:pStyle w:val="Contents2"/>
        <w:tabs>
          <w:tab w:val="clear" w:pos="9595"/>
          <w:tab w:val="right" w:leader="dot" w:pos="9878"/>
        </w:tabs>
      </w:pPr>
      <w:hyperlink r:id="rId26" w:history="1">
        <w:r>
          <w:t xml:space="preserve">4.1Quadro di sintesi dell’attuazione delle misure specifiche </w:t>
        </w:r>
        <w:r>
          <w:tab/>
          <w:t>7</w:t>
        </w:r>
      </w:hyperlink>
    </w:p>
    <w:p w:rsidR="00120698" w:rsidRDefault="003A31EC">
      <w:pPr>
        <w:pStyle w:val="Contents1"/>
      </w:pPr>
      <w:hyperlink r:id="rId27" w:history="1">
        <w:r>
          <w:t xml:space="preserve">SEZIONE 5MONITORAGGIO GESTIONE DEL RISCHIO </w:t>
        </w:r>
        <w:r>
          <w:tab/>
          <w:t>7</w:t>
        </w:r>
      </w:hyperlink>
    </w:p>
    <w:p w:rsidR="00120698" w:rsidRDefault="003A31EC">
      <w:pPr>
        <w:pStyle w:val="Contents1"/>
      </w:pPr>
      <w:hyperlink r:id="rId28" w:history="1">
        <w:r>
          <w:t>SEZIONE 6MONITO</w:t>
        </w:r>
        <w:r>
          <w:t xml:space="preserve">RAGGIO PROCEDIMENTI PENALI </w:t>
        </w:r>
        <w:r>
          <w:tab/>
          <w:t>7</w:t>
        </w:r>
      </w:hyperlink>
    </w:p>
    <w:p w:rsidR="00120698" w:rsidRDefault="003A31EC">
      <w:pPr>
        <w:pStyle w:val="Contents1"/>
      </w:pPr>
      <w:hyperlink r:id="rId29" w:history="1">
        <w:r>
          <w:t xml:space="preserve">SEZIONE 7MONITORAGGIO PROCEDIMENTI DISCIPLINARI </w:t>
        </w:r>
        <w:r>
          <w:tab/>
          <w:t>8</w:t>
        </w:r>
      </w:hyperlink>
    </w:p>
    <w:p w:rsidR="00120698" w:rsidRDefault="003A31EC">
      <w:pPr>
        <w:pStyle w:val="Contents1"/>
      </w:pPr>
      <w:hyperlink r:id="rId30" w:history="1">
        <w:r>
          <w:t xml:space="preserve">SEZIONE 8CONSIDERAZIONI GENERALI </w:t>
        </w:r>
        <w:r>
          <w:tab/>
          <w:t>8</w:t>
        </w:r>
      </w:hyperlink>
    </w:p>
    <w:p w:rsidR="00120698" w:rsidRDefault="003A31EC">
      <w:pPr>
        <w:pStyle w:val="Contents1"/>
      </w:pPr>
      <w:hyperlink r:id="rId31" w:history="1">
        <w:r>
          <w:t>SEZIONE 9MONITORAGGIO MISURE SPECIFICHE</w:t>
        </w:r>
        <w:r>
          <w:tab/>
          <w:t>8</w:t>
        </w:r>
      </w:hyperlink>
    </w:p>
    <w:p w:rsidR="00120698" w:rsidRDefault="003A31EC">
      <w:pPr>
        <w:pStyle w:val="Contents2"/>
        <w:tabs>
          <w:tab w:val="clear" w:pos="9595"/>
          <w:tab w:val="right" w:leader="dot" w:pos="9878"/>
        </w:tabs>
      </w:pPr>
      <w:hyperlink r:id="rId32" w:history="1">
        <w:r>
          <w:t>9.1Misure specifiche di controllo</w:t>
        </w:r>
        <w:r>
          <w:tab/>
          <w:t>8</w:t>
        </w:r>
      </w:hyperlink>
    </w:p>
    <w:p w:rsidR="00120698" w:rsidRDefault="003A31EC">
      <w:pPr>
        <w:pStyle w:val="Contents2"/>
        <w:tabs>
          <w:tab w:val="clear" w:pos="9595"/>
          <w:tab w:val="right" w:leader="dot" w:pos="9878"/>
        </w:tabs>
      </w:pPr>
      <w:hyperlink r:id="rId33" w:history="1">
        <w:r>
          <w:t>9.2Misure specifiche di trasparenza</w:t>
        </w:r>
        <w:r>
          <w:tab/>
          <w:t>8</w:t>
        </w:r>
      </w:hyperlink>
    </w:p>
    <w:p w:rsidR="00120698" w:rsidRDefault="003A31EC">
      <w:pPr>
        <w:pStyle w:val="Contents2"/>
        <w:tabs>
          <w:tab w:val="clear" w:pos="9595"/>
          <w:tab w:val="right" w:leader="dot" w:pos="9878"/>
        </w:tabs>
      </w:pPr>
      <w:hyperlink r:id="rId34" w:history="1">
        <w:r>
          <w:t>9.3Misure specifiche di definizione e promozione dell’etica e di standard di comportamento</w:t>
        </w:r>
        <w:r>
          <w:tab/>
          <w:t>8</w:t>
        </w:r>
      </w:hyperlink>
    </w:p>
    <w:p w:rsidR="00120698" w:rsidRDefault="003A31EC">
      <w:pPr>
        <w:pStyle w:val="Contents2"/>
        <w:tabs>
          <w:tab w:val="clear" w:pos="9595"/>
          <w:tab w:val="right" w:leader="dot" w:pos="9878"/>
        </w:tabs>
      </w:pPr>
      <w:hyperlink r:id="rId35" w:history="1">
        <w:r>
          <w:t>9.4Misure specifiche di regolamentazione</w:t>
        </w:r>
        <w:r>
          <w:tab/>
          <w:t>9</w:t>
        </w:r>
      </w:hyperlink>
    </w:p>
    <w:p w:rsidR="00120698" w:rsidRDefault="003A31EC">
      <w:pPr>
        <w:pStyle w:val="Contents2"/>
        <w:tabs>
          <w:tab w:val="clear" w:pos="9595"/>
          <w:tab w:val="right" w:leader="dot" w:pos="9878"/>
        </w:tabs>
      </w:pPr>
      <w:hyperlink r:id="rId36" w:history="1">
        <w:r>
          <w:t>9.5Misure specifiche di</w:t>
        </w:r>
        <w:r>
          <w:t xml:space="preserve"> semplificazione</w:t>
        </w:r>
        <w:r>
          <w:tab/>
          <w:t>9</w:t>
        </w:r>
      </w:hyperlink>
    </w:p>
    <w:p w:rsidR="00120698" w:rsidRDefault="003A31EC">
      <w:pPr>
        <w:pStyle w:val="Contents2"/>
        <w:tabs>
          <w:tab w:val="clear" w:pos="9595"/>
          <w:tab w:val="right" w:leader="dot" w:pos="9878"/>
        </w:tabs>
      </w:pPr>
      <w:hyperlink r:id="rId37" w:history="1">
        <w:r>
          <w:t>9.6Misure specifiche di formazione</w:t>
        </w:r>
        <w:r>
          <w:tab/>
          <w:t>9</w:t>
        </w:r>
      </w:hyperlink>
    </w:p>
    <w:p w:rsidR="00120698" w:rsidRDefault="003A31EC">
      <w:pPr>
        <w:pStyle w:val="Contents2"/>
        <w:tabs>
          <w:tab w:val="clear" w:pos="9595"/>
          <w:tab w:val="right" w:leader="dot" w:pos="9878"/>
        </w:tabs>
      </w:pPr>
      <w:hyperlink r:id="rId38" w:history="1">
        <w:r>
          <w:t>9.7Misure specifiche di rotazione</w:t>
        </w:r>
        <w:r>
          <w:tab/>
          <w:t>9</w:t>
        </w:r>
      </w:hyperlink>
    </w:p>
    <w:p w:rsidR="00120698" w:rsidRDefault="003A31EC">
      <w:pPr>
        <w:pStyle w:val="Contents2"/>
        <w:tabs>
          <w:tab w:val="clear" w:pos="9595"/>
          <w:tab w:val="right" w:leader="dot" w:pos="9878"/>
        </w:tabs>
      </w:pPr>
      <w:hyperlink r:id="rId39" w:history="1">
        <w:r>
          <w:t>9.8Misure specifiche di</w:t>
        </w:r>
        <w:r>
          <w:t xml:space="preserve"> disciplina del conflitto di interessi</w:t>
        </w:r>
        <w:r>
          <w:tab/>
          <w:t>9</w:t>
        </w:r>
      </w:hyperlink>
    </w:p>
    <w:p w:rsidR="00120698" w:rsidRDefault="003A31EC">
      <w:pPr>
        <w:pStyle w:val="Standard"/>
      </w:pPr>
      <w:r>
        <w:rPr>
          <w:b/>
          <w:bCs/>
          <w:sz w:val="22"/>
          <w:szCs w:val="22"/>
        </w:rPr>
        <w:fldChar w:fldCharType="end"/>
      </w:r>
      <w:hyperlink r:id="rId40" w:history="1"/>
    </w:p>
    <w:p w:rsidR="00120698" w:rsidRDefault="00120698">
      <w:pPr>
        <w:pStyle w:val="Standard"/>
      </w:pPr>
    </w:p>
    <w:p w:rsidR="00120698" w:rsidRDefault="00120698">
      <w:pPr>
        <w:pStyle w:val="Standard"/>
        <w:rPr>
          <w:b/>
        </w:rPr>
      </w:pPr>
    </w:p>
    <w:p w:rsidR="00120698" w:rsidRDefault="003A31EC">
      <w:pPr>
        <w:pStyle w:val="Heading1"/>
        <w:pageBreakBefore/>
      </w:pPr>
      <w:bookmarkStart w:id="1" w:name="__RefHeading__8335_997983355"/>
      <w:bookmarkStart w:id="2" w:name="_Toc88657645"/>
      <w:r>
        <w:t>ANAGRAFICA AMMINISTRAZIONE</w:t>
      </w:r>
      <w:bookmarkEnd w:id="1"/>
      <w:bookmarkEnd w:id="2"/>
    </w:p>
    <w:p w:rsidR="00120698" w:rsidRDefault="00120698">
      <w:pPr>
        <w:pStyle w:val="Standard"/>
      </w:pPr>
    </w:p>
    <w:p w:rsidR="00120698" w:rsidRDefault="003A31EC">
      <w:pPr>
        <w:pStyle w:val="Standard"/>
      </w:pPr>
      <w:r>
        <w:t>Codice fiscale Amministrazione: 80005700622</w:t>
      </w:r>
    </w:p>
    <w:p w:rsidR="00120698" w:rsidRDefault="003A31EC">
      <w:pPr>
        <w:pStyle w:val="Standard"/>
      </w:pPr>
      <w:r>
        <w:t>Denominazione Amministrazione: ORDINE DEI FARMACISTI</w:t>
      </w:r>
    </w:p>
    <w:p w:rsidR="00120698" w:rsidRDefault="003A31EC">
      <w:pPr>
        <w:pStyle w:val="Standard"/>
      </w:pPr>
      <w:r>
        <w:t>Tipologia di amministrazione: Ordine Professionale</w:t>
      </w:r>
    </w:p>
    <w:p w:rsidR="00120698" w:rsidRDefault="003A31EC">
      <w:pPr>
        <w:pStyle w:val="Standard"/>
      </w:pPr>
      <w:r>
        <w:t>Regione di appartenenza: Campania</w:t>
      </w:r>
    </w:p>
    <w:p w:rsidR="00120698" w:rsidRDefault="003A31EC">
      <w:pPr>
        <w:pStyle w:val="Standard"/>
      </w:pPr>
      <w:r>
        <w:t>Classe dipendenti: da 1 a 9</w:t>
      </w:r>
    </w:p>
    <w:p w:rsidR="00120698" w:rsidRDefault="003A31EC">
      <w:pPr>
        <w:pStyle w:val="Standard"/>
      </w:pPr>
      <w:r>
        <w:t>Numero totale Dirigenti: 0</w:t>
      </w:r>
    </w:p>
    <w:p w:rsidR="00120698" w:rsidRDefault="003A31EC">
      <w:pPr>
        <w:pStyle w:val="Standard"/>
      </w:pPr>
      <w:r>
        <w:t>Numero di dipendenti con funzioni dirigenziali: 0</w:t>
      </w:r>
    </w:p>
    <w:p w:rsidR="00120698" w:rsidRDefault="00120698">
      <w:pPr>
        <w:pStyle w:val="Standard"/>
      </w:pPr>
    </w:p>
    <w:p w:rsidR="00120698" w:rsidRDefault="003A31EC">
      <w:pPr>
        <w:pStyle w:val="Heading1"/>
      </w:pPr>
      <w:bookmarkStart w:id="3" w:name="__RefHeading__8337_997983355"/>
      <w:bookmarkStart w:id="4" w:name="_Toc88657646"/>
      <w:r>
        <w:t>ANAGRAFICA RPCT</w:t>
      </w:r>
      <w:bookmarkEnd w:id="3"/>
      <w:bookmarkEnd w:id="4"/>
    </w:p>
    <w:p w:rsidR="00120698" w:rsidRDefault="00120698">
      <w:pPr>
        <w:pStyle w:val="Standard"/>
      </w:pPr>
    </w:p>
    <w:p w:rsidR="00120698" w:rsidRDefault="003A31EC">
      <w:pPr>
        <w:pStyle w:val="Standard"/>
      </w:pPr>
      <w:r>
        <w:t>Nome RPCT: ARMANDO</w:t>
      </w:r>
    </w:p>
    <w:p w:rsidR="00120698" w:rsidRDefault="003A31EC">
      <w:pPr>
        <w:pStyle w:val="Standard"/>
      </w:pPr>
      <w:r>
        <w:t>Cognome RPCT: CUSANO</w:t>
      </w:r>
    </w:p>
    <w:p w:rsidR="00120698" w:rsidRDefault="003A31EC">
      <w:pPr>
        <w:pStyle w:val="Standard"/>
      </w:pPr>
      <w:r>
        <w:t>Qualifica:  Consigliere</w:t>
      </w:r>
    </w:p>
    <w:p w:rsidR="00120698" w:rsidRDefault="003A31EC">
      <w:pPr>
        <w:pStyle w:val="Standard"/>
      </w:pPr>
      <w:r>
        <w:t>Posizione occupata: X</w:t>
      </w:r>
    </w:p>
    <w:p w:rsidR="00120698" w:rsidRDefault="003A31EC">
      <w:pPr>
        <w:pStyle w:val="Standard"/>
      </w:pPr>
      <w:r>
        <w:t>Data inizio i</w:t>
      </w:r>
      <w:r>
        <w:t>ncarico di RPCT: 27/06/2021</w:t>
      </w:r>
    </w:p>
    <w:p w:rsidR="00120698" w:rsidRDefault="003A31EC">
      <w:pPr>
        <w:pStyle w:val="Standard"/>
      </w:pPr>
      <w:r>
        <w:t>RPC svolge anche le funzioni di Responsabile della Trasparenza.</w:t>
      </w:r>
    </w:p>
    <w:p w:rsidR="00120698" w:rsidRDefault="00120698">
      <w:pPr>
        <w:pStyle w:val="Standard"/>
      </w:pPr>
    </w:p>
    <w:p w:rsidR="00120698" w:rsidRDefault="00120698">
      <w:pPr>
        <w:pStyle w:val="Standard"/>
        <w:rPr>
          <w:u w:val="single"/>
        </w:rPr>
      </w:pPr>
    </w:p>
    <w:p w:rsidR="00120698" w:rsidRDefault="003A31EC">
      <w:pPr>
        <w:pStyle w:val="Heading1"/>
      </w:pPr>
      <w:bookmarkStart w:id="5" w:name="__RefHeading__8339_997983355"/>
      <w:bookmarkStart w:id="6" w:name="_Toc88657647"/>
      <w:bookmarkStart w:id="7" w:name="OLE_LINK1"/>
      <w:r>
        <w:t>RENDICONTAZIONE MISURE GENERALI</w:t>
      </w:r>
      <w:bookmarkEnd w:id="5"/>
      <w:bookmarkEnd w:id="6"/>
      <w:bookmarkEnd w:id="7"/>
    </w:p>
    <w:p w:rsidR="00120698" w:rsidRDefault="00120698">
      <w:pPr>
        <w:pStyle w:val="Standard"/>
      </w:pPr>
    </w:p>
    <w:p w:rsidR="00120698" w:rsidRDefault="003A31EC">
      <w:pPr>
        <w:pStyle w:val="Standard"/>
      </w:pPr>
      <w:r>
        <w:t>La presente sezione illustra l’andamento relativo all’attuazione delle misure generali per l’anno di riferimento del PTPCT.</w:t>
      </w:r>
    </w:p>
    <w:p w:rsidR="00120698" w:rsidRDefault="00120698">
      <w:pPr>
        <w:pStyle w:val="Standard"/>
        <w:rPr>
          <w:i/>
        </w:rPr>
      </w:pPr>
    </w:p>
    <w:p w:rsidR="00120698" w:rsidRDefault="003A31EC">
      <w:pPr>
        <w:pStyle w:val="Heading2"/>
      </w:pPr>
      <w:bookmarkStart w:id="8" w:name="_Toc88657648"/>
      <w:bookmarkStart w:id="9" w:name="__RefHeading__8341_997983355"/>
      <w:r>
        <w:t>Sint</w:t>
      </w:r>
      <w:r>
        <w:t>esi dell’attuazione delle misure generali</w:t>
      </w:r>
      <w:bookmarkEnd w:id="8"/>
      <w:bookmarkEnd w:id="9"/>
    </w:p>
    <w:p w:rsidR="00120698" w:rsidRDefault="00120698">
      <w:pPr>
        <w:pStyle w:val="Standard"/>
      </w:pPr>
    </w:p>
    <w:p w:rsidR="00120698" w:rsidRDefault="003A31EC">
      <w:pPr>
        <w:pStyle w:val="Standard"/>
      </w:pPr>
      <w:r>
        <w:t>Nel corso dell’annualità di riferimento, lo stato di programmazione e attuazione delle misure generali è sintetizzato nella seguente tabella</w:t>
      </w:r>
    </w:p>
    <w:p w:rsidR="00120698" w:rsidRDefault="00120698">
      <w:pPr>
        <w:pStyle w:val="Standard"/>
      </w:pPr>
    </w:p>
    <w:tbl>
      <w:tblPr>
        <w:tblW w:w="935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4"/>
        <w:gridCol w:w="1874"/>
        <w:gridCol w:w="2163"/>
      </w:tblGrid>
      <w:tr w:rsidR="0012069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12069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2069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12069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12069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12069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12069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12069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12069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12069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cessazione lavoro – pantouflage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12069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12069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2069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Rapporti con portatori di interessi particolari</w:t>
            </w:r>
          </w:p>
          <w:p w:rsidR="00120698" w:rsidRDefault="00120698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:rsidR="00120698" w:rsidRDefault="00120698">
      <w:pPr>
        <w:pStyle w:val="Standard"/>
      </w:pPr>
    </w:p>
    <w:p w:rsidR="00120698" w:rsidRDefault="003A31EC">
      <w:pPr>
        <w:pStyle w:val="Standard"/>
      </w:pPr>
      <w:r>
        <w:t>Per quanto riguarda le misure non attuate si evidenzia che:</w:t>
      </w:r>
      <w:r>
        <w:br/>
      </w:r>
      <w:r>
        <w:tab/>
        <w:t>-</w:t>
      </w:r>
      <w:r>
        <w:tab/>
        <w:t xml:space="preserve">Per 1 </w:t>
      </w:r>
      <w:r>
        <w:t>misure non sono state ancora avviate le attività, ma saranno avviate nei tempi previsti</w:t>
      </w:r>
      <w:r>
        <w:br/>
      </w:r>
      <w:r>
        <w:tab/>
        <w:t>-</w:t>
      </w:r>
      <w:r>
        <w:tab/>
        <w:t>Per 2 misure non sono state ancora avviate le attività e non saranno avviate nei tempi previsti</w:t>
      </w:r>
    </w:p>
    <w:p w:rsidR="00120698" w:rsidRDefault="00120698">
      <w:pPr>
        <w:pStyle w:val="Standard"/>
      </w:pPr>
    </w:p>
    <w:p w:rsidR="00120698" w:rsidRDefault="00120698">
      <w:pPr>
        <w:pStyle w:val="Standard"/>
      </w:pPr>
    </w:p>
    <w:p w:rsidR="00120698" w:rsidRDefault="003A31EC">
      <w:pPr>
        <w:pStyle w:val="Heading2"/>
      </w:pPr>
      <w:bookmarkStart w:id="10" w:name="_Toc88657649"/>
      <w:bookmarkStart w:id="11" w:name="__RefHeading__8343_997983355"/>
      <w:r>
        <w:t>Codice di comportamento</w:t>
      </w:r>
      <w:bookmarkEnd w:id="10"/>
      <w:bookmarkEnd w:id="11"/>
    </w:p>
    <w:p w:rsidR="00120698" w:rsidRDefault="00120698">
      <w:pPr>
        <w:pStyle w:val="Standard"/>
        <w:jc w:val="both"/>
      </w:pPr>
    </w:p>
    <w:p w:rsidR="00120698" w:rsidRDefault="003A31EC">
      <w:pPr>
        <w:pStyle w:val="Standard"/>
      </w:pPr>
      <w:r>
        <w:t xml:space="preserve">La misura Codice di Comportamento, pur essendo stata programmata nel PTPCT di riferimento, non è stata ancora attuata, in particolare: </w:t>
      </w:r>
      <w:r>
        <w:br/>
      </w:r>
      <w:r>
        <w:t>Non sono state ancora avviate le attività, ma saranno avviate nei tempi previsti</w:t>
      </w:r>
    </w:p>
    <w:p w:rsidR="00120698" w:rsidRDefault="00120698">
      <w:pPr>
        <w:pStyle w:val="Standard"/>
      </w:pPr>
    </w:p>
    <w:p w:rsidR="00120698" w:rsidRDefault="00120698">
      <w:pPr>
        <w:pStyle w:val="Standard"/>
        <w:jc w:val="both"/>
        <w:rPr>
          <w:iCs/>
        </w:rPr>
      </w:pPr>
    </w:p>
    <w:p w:rsidR="00120698" w:rsidRDefault="00120698">
      <w:pPr>
        <w:pStyle w:val="Standard"/>
      </w:pPr>
    </w:p>
    <w:p w:rsidR="00120698" w:rsidRDefault="003A31EC">
      <w:pPr>
        <w:pStyle w:val="Heading2"/>
      </w:pPr>
      <w:bookmarkStart w:id="12" w:name="_Toc88657650"/>
      <w:bookmarkStart w:id="13" w:name="__RefHeading__8345_997983355"/>
      <w:r>
        <w:t>Rotazione del personale</w:t>
      </w:r>
      <w:bookmarkEnd w:id="12"/>
      <w:bookmarkEnd w:id="13"/>
    </w:p>
    <w:p w:rsidR="00120698" w:rsidRDefault="00120698">
      <w:pPr>
        <w:pStyle w:val="Standard"/>
      </w:pPr>
    </w:p>
    <w:p w:rsidR="00120698" w:rsidRDefault="003A31EC">
      <w:pPr>
        <w:pStyle w:val="Heading3"/>
      </w:pPr>
      <w:bookmarkStart w:id="14" w:name="__RefHeading__8347_997983355"/>
      <w:bookmarkStart w:id="15" w:name="_Toc88657651"/>
      <w:r>
        <w:t>Rotazio</w:t>
      </w:r>
      <w:r>
        <w:t>ne Ordinaria</w:t>
      </w:r>
      <w:bookmarkEnd w:id="14"/>
      <w:bookmarkEnd w:id="15"/>
    </w:p>
    <w:p w:rsidR="00120698" w:rsidRDefault="00120698">
      <w:pPr>
        <w:pStyle w:val="Standard"/>
      </w:pPr>
    </w:p>
    <w:p w:rsidR="00120698" w:rsidRDefault="003A31EC">
      <w:pPr>
        <w:pStyle w:val="Standard"/>
      </w:pPr>
      <w:r>
        <w:t xml:space="preserve">La misura Rotazione Ordinaria del Personale non è stata programmata nel PTPCT in esame o, laddove la rotazione ordinaria sia stata già adottata negli anni precedenti, non si prevede di realizzare interventi correttivi o ad essa collegati per </w:t>
      </w:r>
      <w:r>
        <w:t>le seguenti motivazioni:  Unico dipendente a part time</w:t>
      </w:r>
    </w:p>
    <w:p w:rsidR="00120698" w:rsidRDefault="003A31EC">
      <w:pPr>
        <w:pStyle w:val="Standard"/>
      </w:pPr>
      <w:r>
        <w:br/>
      </w:r>
      <w:r>
        <w:t>Nell'anno di riferimento del PTPCT in esame, l’amministrazione non è stata interessata da un processo di riorganizzazione.</w:t>
      </w:r>
    </w:p>
    <w:p w:rsidR="00120698" w:rsidRDefault="00120698">
      <w:pPr>
        <w:pStyle w:val="Standard"/>
      </w:pPr>
    </w:p>
    <w:p w:rsidR="00120698" w:rsidRDefault="003A31EC">
      <w:pPr>
        <w:pStyle w:val="Heading3"/>
      </w:pPr>
      <w:bookmarkStart w:id="16" w:name="__RefHeading__8349_997983355"/>
      <w:bookmarkStart w:id="17" w:name="_Toc88657652"/>
      <w:r>
        <w:t>Rotazione Straordinaria</w:t>
      </w:r>
      <w:bookmarkEnd w:id="16"/>
      <w:bookmarkEnd w:id="17"/>
    </w:p>
    <w:p w:rsidR="00120698" w:rsidRDefault="00120698">
      <w:pPr>
        <w:pStyle w:val="Standard"/>
      </w:pPr>
    </w:p>
    <w:p w:rsidR="00120698" w:rsidRDefault="003A31EC">
      <w:pPr>
        <w:pStyle w:val="Standard"/>
      </w:pPr>
      <w:r>
        <w:t>Nel PTPCT non sono state predisposte le modalità or</w:t>
      </w:r>
      <w:r>
        <w:t>ganizzative più idonee a garantire la tempestiva adozione della Rotazione Straordinaria del Personale nei casi di avvio di procedimenti penali o disciplinari per le condotte di natura corruttiva.</w:t>
      </w:r>
    </w:p>
    <w:p w:rsidR="00120698" w:rsidRDefault="00120698">
      <w:pPr>
        <w:pStyle w:val="Standard"/>
      </w:pPr>
    </w:p>
    <w:p w:rsidR="00120698" w:rsidRDefault="003A31EC">
      <w:pPr>
        <w:pStyle w:val="Standard"/>
      </w:pPr>
      <w:r>
        <w:t>Anche se si sono verificati i reati presupposti, la Rotazio</w:t>
      </w:r>
      <w:r>
        <w:t>ne Straordinaria non è stata realizzata per le seguenti motivazioni:  Unico dipendente</w:t>
      </w:r>
    </w:p>
    <w:p w:rsidR="00120698" w:rsidRDefault="00120698">
      <w:pPr>
        <w:pStyle w:val="Standard"/>
      </w:pPr>
    </w:p>
    <w:p w:rsidR="00120698" w:rsidRDefault="003A31EC">
      <w:pPr>
        <w:pStyle w:val="Heading3"/>
      </w:pPr>
      <w:bookmarkStart w:id="18" w:name="__RefHeading__8351_997983355"/>
      <w:bookmarkStart w:id="19" w:name="_Toc88657653"/>
      <w:r>
        <w:t>Trasferimento d’ufficio</w:t>
      </w:r>
      <w:bookmarkEnd w:id="18"/>
      <w:bookmarkEnd w:id="19"/>
    </w:p>
    <w:p w:rsidR="00120698" w:rsidRDefault="00120698">
      <w:pPr>
        <w:pStyle w:val="Standard"/>
      </w:pPr>
    </w:p>
    <w:p w:rsidR="00120698" w:rsidRDefault="003A31EC">
      <w:pPr>
        <w:pStyle w:val="Standard"/>
      </w:pPr>
      <w:r>
        <w:t>In assenza di rinvii a giudizio per i delitti previsti dall'art. 3, comma 1, della L. n. 97/2001, non si è reso necessario adottare attribuzio</w:t>
      </w:r>
      <w:r>
        <w:t>ni di incarichi differenti, trasferimenti ad uffici diversi, trasferimenti di sede.</w:t>
      </w:r>
    </w:p>
    <w:p w:rsidR="00120698" w:rsidRDefault="00120698">
      <w:pPr>
        <w:pStyle w:val="Standard"/>
      </w:pPr>
    </w:p>
    <w:p w:rsidR="00120698" w:rsidRDefault="00120698">
      <w:pPr>
        <w:pStyle w:val="Standard"/>
      </w:pPr>
    </w:p>
    <w:p w:rsidR="00120698" w:rsidRDefault="003A31EC">
      <w:pPr>
        <w:pStyle w:val="Heading2"/>
      </w:pPr>
      <w:bookmarkStart w:id="20" w:name="_Toc88657654"/>
      <w:bookmarkStart w:id="21" w:name="__RefHeading__8353_997983355"/>
      <w:r>
        <w:t>Misure in materia di conflitto di interessi</w:t>
      </w:r>
      <w:bookmarkEnd w:id="20"/>
      <w:bookmarkEnd w:id="21"/>
    </w:p>
    <w:p w:rsidR="00120698" w:rsidRDefault="00120698">
      <w:pPr>
        <w:pStyle w:val="Standard"/>
      </w:pPr>
    </w:p>
    <w:p w:rsidR="00120698" w:rsidRDefault="003A31EC">
      <w:pPr>
        <w:pStyle w:val="Standard"/>
      </w:pPr>
      <w:r>
        <w:t xml:space="preserve">Le misure in materia di conflitto di interessi non sono state programmate nel PTPCT in esame o, laddove siano state già </w:t>
      </w:r>
      <w:r>
        <w:t xml:space="preserve">adottate negli anni precedenti, non si prevede di realizzare interventi correttivi o ad esse collegati, per le seguenti motivazioni: </w:t>
      </w:r>
      <w:r>
        <w:br/>
      </w:r>
      <w:r>
        <w:t>Non necessaria</w:t>
      </w:r>
    </w:p>
    <w:p w:rsidR="00120698" w:rsidRDefault="00120698">
      <w:pPr>
        <w:pStyle w:val="Standard"/>
      </w:pPr>
    </w:p>
    <w:p w:rsidR="00120698" w:rsidRDefault="00120698">
      <w:pPr>
        <w:pStyle w:val="Standard"/>
      </w:pPr>
    </w:p>
    <w:p w:rsidR="00120698" w:rsidRDefault="00120698">
      <w:pPr>
        <w:pStyle w:val="Standard"/>
      </w:pPr>
    </w:p>
    <w:p w:rsidR="00120698" w:rsidRDefault="00120698">
      <w:pPr>
        <w:pStyle w:val="Standard"/>
      </w:pPr>
    </w:p>
    <w:p w:rsidR="00120698" w:rsidRDefault="00120698">
      <w:pPr>
        <w:pStyle w:val="Standard"/>
        <w:pBdr>
          <w:bottom w:val="single" w:sz="4" w:space="1" w:color="00000A"/>
        </w:pBdr>
        <w:rPr>
          <w:iCs/>
        </w:rPr>
      </w:pPr>
    </w:p>
    <w:p w:rsidR="00120698" w:rsidRDefault="003A31EC">
      <w:pPr>
        <w:pStyle w:val="Heading2"/>
      </w:pPr>
      <w:bookmarkStart w:id="22" w:name="_Toc88657655"/>
      <w:bookmarkStart w:id="23" w:name="__RefHeading__8355_997983355"/>
      <w:r>
        <w:rPr>
          <w:lang w:val="en-US"/>
        </w:rPr>
        <w:t>Whistleblowing</w:t>
      </w:r>
      <w:bookmarkEnd w:id="22"/>
      <w:bookmarkEnd w:id="23"/>
    </w:p>
    <w:p w:rsidR="00120698" w:rsidRDefault="00120698">
      <w:pPr>
        <w:pStyle w:val="Standard"/>
        <w:rPr>
          <w:lang w:val="en-US"/>
        </w:rPr>
      </w:pPr>
    </w:p>
    <w:p w:rsidR="00120698" w:rsidRDefault="003A31EC">
      <w:pPr>
        <w:pStyle w:val="Standard"/>
      </w:pPr>
      <w:r>
        <w:rPr>
          <w:lang w:val="en-US"/>
        </w:rPr>
        <w:t xml:space="preserve">La misura “Whistleblowing” non è stata programmata nel PTPCT in esame o, laddove la misura sia stata già adottata negli anni precedenti, non si prevede di realizzare interventi correttivi o ad essa collegati per le seguenti motivazioni: </w:t>
      </w:r>
      <w:r>
        <w:rPr>
          <w:lang w:val="en-US"/>
        </w:rPr>
        <w:br/>
      </w:r>
      <w:r>
        <w:rPr>
          <w:lang w:val="en-US"/>
        </w:rPr>
        <w:t>Non necessaria</w:t>
      </w:r>
    </w:p>
    <w:p w:rsidR="00120698" w:rsidRDefault="00120698">
      <w:pPr>
        <w:pStyle w:val="Standard"/>
        <w:rPr>
          <w:lang w:val="en-US"/>
        </w:rPr>
      </w:pPr>
    </w:p>
    <w:p w:rsidR="00120698" w:rsidRDefault="00120698">
      <w:pPr>
        <w:pStyle w:val="Standard"/>
        <w:rPr>
          <w:lang w:val="en-US"/>
        </w:rPr>
      </w:pPr>
    </w:p>
    <w:p w:rsidR="00120698" w:rsidRDefault="00120698">
      <w:pPr>
        <w:pStyle w:val="Standard"/>
        <w:rPr>
          <w:lang w:val="en-US"/>
        </w:rPr>
      </w:pPr>
    </w:p>
    <w:p w:rsidR="00120698" w:rsidRDefault="00120698">
      <w:pPr>
        <w:pStyle w:val="Standard"/>
        <w:rPr>
          <w:lang w:val="en-US"/>
        </w:rPr>
      </w:pPr>
    </w:p>
    <w:p w:rsidR="00120698" w:rsidRDefault="003A31EC">
      <w:pPr>
        <w:pStyle w:val="Heading2"/>
      </w:pPr>
      <w:bookmarkStart w:id="24" w:name="_Toc88657656"/>
      <w:bookmarkStart w:id="25" w:name="__RefHeading__8357_997983355"/>
      <w:r>
        <w:t>Formazione</w:t>
      </w:r>
      <w:bookmarkEnd w:id="24"/>
      <w:bookmarkEnd w:id="25"/>
    </w:p>
    <w:p w:rsidR="00120698" w:rsidRDefault="00120698">
      <w:pPr>
        <w:pStyle w:val="Standard"/>
      </w:pPr>
    </w:p>
    <w:p w:rsidR="00120698" w:rsidRDefault="00120698">
      <w:pPr>
        <w:pStyle w:val="Standard"/>
      </w:pPr>
    </w:p>
    <w:p w:rsidR="00120698" w:rsidRDefault="003A31EC">
      <w:pPr>
        <w:pStyle w:val="Standard"/>
      </w:pPr>
      <w:r>
        <w:t xml:space="preserve">La misura “Formazione”, pur essendo stata programmata nel PTPCT di riferimento, non è stata ancora attuata. in particolare: </w:t>
      </w:r>
      <w:r>
        <w:br/>
      </w:r>
      <w:r>
        <w:t>Non sono state ancora avviate le attività e non saranno avviate nei tempi previsti dal PTPCT per le seguenti mot</w:t>
      </w:r>
      <w:r>
        <w:t>ivazioni:</w:t>
      </w:r>
      <w:r>
        <w:br/>
      </w:r>
      <w:r>
        <w:t xml:space="preserve">  - carenza di personale</w:t>
      </w:r>
    </w:p>
    <w:p w:rsidR="00120698" w:rsidRDefault="00120698">
      <w:pPr>
        <w:pStyle w:val="Standard"/>
      </w:pPr>
    </w:p>
    <w:p w:rsidR="00120698" w:rsidRDefault="00120698">
      <w:pPr>
        <w:pStyle w:val="Standard"/>
      </w:pPr>
    </w:p>
    <w:p w:rsidR="00120698" w:rsidRDefault="00120698">
      <w:pPr>
        <w:pStyle w:val="Standard"/>
      </w:pPr>
    </w:p>
    <w:p w:rsidR="00120698" w:rsidRDefault="00120698">
      <w:pPr>
        <w:pStyle w:val="Standard"/>
        <w:pBdr>
          <w:bottom w:val="single" w:sz="4" w:space="1" w:color="00000A"/>
        </w:pBdr>
        <w:rPr>
          <w:iCs/>
        </w:rPr>
      </w:pPr>
    </w:p>
    <w:p w:rsidR="00120698" w:rsidRDefault="003A31EC">
      <w:pPr>
        <w:pStyle w:val="Heading2"/>
      </w:pPr>
      <w:bookmarkStart w:id="26" w:name="__RefHeading__8359_997983355"/>
      <w:bookmarkStart w:id="27" w:name="_Toc88657657"/>
      <w:r>
        <w:t>Trasparenza</w:t>
      </w:r>
      <w:bookmarkEnd w:id="26"/>
      <w:bookmarkEnd w:id="27"/>
    </w:p>
    <w:p w:rsidR="00120698" w:rsidRDefault="00120698">
      <w:pPr>
        <w:pStyle w:val="Standard"/>
      </w:pPr>
    </w:p>
    <w:p w:rsidR="00120698" w:rsidRDefault="00120698">
      <w:pPr>
        <w:pStyle w:val="Standard"/>
      </w:pPr>
    </w:p>
    <w:p w:rsidR="00120698" w:rsidRDefault="00120698">
      <w:pPr>
        <w:pStyle w:val="Standard"/>
      </w:pPr>
    </w:p>
    <w:p w:rsidR="00120698" w:rsidRDefault="00120698">
      <w:pPr>
        <w:pStyle w:val="Standard"/>
      </w:pPr>
    </w:p>
    <w:p w:rsidR="00120698" w:rsidRDefault="003A31EC">
      <w:pPr>
        <w:pStyle w:val="Standard"/>
      </w:pPr>
      <w:r>
        <w:t>L'amministrazione ha solo in parte realizzato l'informatizzazione del flusso per alimentare la pubblicazione dei dati nella sezione “Amministrazione trasparente”.</w:t>
      </w:r>
      <w:r>
        <w:br/>
      </w:r>
      <w:r>
        <w:br/>
      </w:r>
      <w:r>
        <w:t xml:space="preserve">Il sito istituzionale, relativamente </w:t>
      </w:r>
      <w:r>
        <w:t>alla sezione "Amministrazione trasparente", non traccia il numero delle visite..</w:t>
      </w:r>
      <w:r>
        <w:br/>
      </w:r>
      <w:r>
        <w:br/>
      </w:r>
      <w:r>
        <w:t>La procedura per la gestione delle richieste di accesso civico “semplice” è stata adottata e pubblicata sul sito istituzionale.</w:t>
      </w:r>
      <w:r>
        <w:br/>
      </w:r>
      <w:r>
        <w:t>Nell’anno di riferimento del PTPCT non sono pe</w:t>
      </w:r>
      <w:r>
        <w:t>rvenute richieste di accesso civico "semplice".</w:t>
      </w:r>
      <w:r>
        <w:br/>
      </w:r>
      <w:r>
        <w:t>La procedura per la gestione delle richieste di accesso civico “generalizzato” non è stata adottata e pubblicata sul sito istituzionale per le seguenti motivazioni: In fase di attuazione .</w:t>
      </w:r>
      <w:r>
        <w:br/>
      </w:r>
      <w:r>
        <w:t>Nell’anno di riferi</w:t>
      </w:r>
      <w:r>
        <w:t>mento del PTPCT non sono pervenute richieste di accesso civico “generalizzato".</w:t>
      </w:r>
      <w:r>
        <w:br/>
      </w:r>
      <w:r>
        <w:t xml:space="preserve">Non è stato istituito il registro degli accessi. </w:t>
      </w:r>
      <w:r>
        <w:br/>
      </w:r>
      <w:r>
        <w:br/>
      </w:r>
      <w:r>
        <w:t>In merito al livello di adempimento degli obblighi di trasparenza, si formula il seguente giudizio: L’adempimento degli obbli</w:t>
      </w:r>
      <w:r>
        <w:t>ghi è relativamente soddisfacente in relazione alle difficoltà operative dovute alla presenza in organico di una sola unità di personale con contratto a part time</w:t>
      </w:r>
    </w:p>
    <w:p w:rsidR="00120698" w:rsidRDefault="00120698">
      <w:pPr>
        <w:pStyle w:val="Standard"/>
      </w:pPr>
    </w:p>
    <w:p w:rsidR="00120698" w:rsidRDefault="00120698">
      <w:pPr>
        <w:pStyle w:val="Standard"/>
      </w:pPr>
    </w:p>
    <w:p w:rsidR="00120698" w:rsidRDefault="003A31EC">
      <w:pPr>
        <w:pStyle w:val="Heading2"/>
      </w:pPr>
      <w:bookmarkStart w:id="28" w:name="__RefHeading__8361_997983355"/>
      <w:bookmarkStart w:id="29" w:name="_Toc88657658"/>
      <w:r>
        <w:t>Pantouflage</w:t>
      </w:r>
      <w:bookmarkEnd w:id="28"/>
      <w:bookmarkEnd w:id="29"/>
    </w:p>
    <w:p w:rsidR="00120698" w:rsidRDefault="00120698">
      <w:pPr>
        <w:pStyle w:val="Standard"/>
      </w:pPr>
    </w:p>
    <w:p w:rsidR="00120698" w:rsidRDefault="00120698">
      <w:pPr>
        <w:pStyle w:val="Standard"/>
      </w:pPr>
    </w:p>
    <w:p w:rsidR="00120698" w:rsidRDefault="00120698">
      <w:pPr>
        <w:pStyle w:val="Standard"/>
      </w:pPr>
    </w:p>
    <w:p w:rsidR="00120698" w:rsidRDefault="003A31EC">
      <w:pPr>
        <w:pStyle w:val="Standard"/>
      </w:pPr>
      <w:r>
        <w:t xml:space="preserve">La misura “Svolgimento di attività successiva alla cessazione del rapporto </w:t>
      </w:r>
      <w:r>
        <w:t>di lavoro” è stata attuata ma non sono stati effettuati controlli sulla sua attuazione.</w:t>
      </w:r>
    </w:p>
    <w:p w:rsidR="00120698" w:rsidRDefault="00120698">
      <w:pPr>
        <w:pStyle w:val="Standard"/>
      </w:pPr>
    </w:p>
    <w:p w:rsidR="00120698" w:rsidRDefault="00120698">
      <w:pPr>
        <w:pStyle w:val="Standard"/>
      </w:pPr>
    </w:p>
    <w:p w:rsidR="00120698" w:rsidRDefault="003A31EC">
      <w:pPr>
        <w:pStyle w:val="Heading2"/>
      </w:pPr>
      <w:bookmarkStart w:id="30" w:name="__RefHeading__8363_997983355"/>
      <w:bookmarkStart w:id="31" w:name="_Toc88657659"/>
      <w:r>
        <w:t>Commissioni e conferimento incarichi in caso di condanna</w:t>
      </w:r>
      <w:bookmarkEnd w:id="30"/>
      <w:bookmarkEnd w:id="31"/>
    </w:p>
    <w:p w:rsidR="00120698" w:rsidRDefault="00120698">
      <w:pPr>
        <w:pStyle w:val="Standard"/>
      </w:pPr>
    </w:p>
    <w:p w:rsidR="00120698" w:rsidRDefault="00120698">
      <w:pPr>
        <w:pStyle w:val="Standard"/>
      </w:pPr>
    </w:p>
    <w:p w:rsidR="00120698" w:rsidRDefault="003A31EC">
      <w:pPr>
        <w:pStyle w:val="Standard"/>
      </w:pPr>
      <w:r>
        <w:t xml:space="preserve">La misura “Commissioni, assegnazioni di uffici e conferimento di incarichi in caso di condanna per delitti </w:t>
      </w:r>
      <w:r>
        <w:t xml:space="preserve">contro le PA”, pur essendo stata programmata nel PTPCT di riferimento, non è stata ancora attuata. in particolare: </w:t>
      </w:r>
      <w:r>
        <w:br/>
      </w:r>
      <w:r>
        <w:t>Non sono state ancora avviate le attività e non saranno avviate nei tempi previsti dal PTPCT per le seguenti motivazioni:</w:t>
      </w:r>
      <w:r>
        <w:br/>
      </w:r>
      <w:r>
        <w:t xml:space="preserve">  - Unico dipenden</w:t>
      </w:r>
      <w:r>
        <w:t>te senza pregiudizi penali</w:t>
      </w:r>
    </w:p>
    <w:p w:rsidR="00120698" w:rsidRDefault="00120698">
      <w:pPr>
        <w:pStyle w:val="Standard"/>
      </w:pPr>
    </w:p>
    <w:p w:rsidR="00120698" w:rsidRDefault="00120698">
      <w:pPr>
        <w:pStyle w:val="Standard"/>
      </w:pPr>
    </w:p>
    <w:p w:rsidR="00120698" w:rsidRDefault="00120698">
      <w:pPr>
        <w:pStyle w:val="Standard"/>
      </w:pPr>
    </w:p>
    <w:p w:rsidR="00120698" w:rsidRDefault="003A31EC">
      <w:pPr>
        <w:pStyle w:val="Heading2"/>
      </w:pPr>
      <w:bookmarkStart w:id="32" w:name="__RefHeading__8365_997983355"/>
      <w:bookmarkStart w:id="33" w:name="_Toc88657660"/>
      <w:r>
        <w:t>Patti di integrità</w:t>
      </w:r>
      <w:bookmarkEnd w:id="32"/>
      <w:bookmarkEnd w:id="33"/>
    </w:p>
    <w:p w:rsidR="00120698" w:rsidRDefault="00120698">
      <w:pPr>
        <w:pStyle w:val="Standard"/>
      </w:pPr>
    </w:p>
    <w:p w:rsidR="00120698" w:rsidRDefault="003A31EC">
      <w:pPr>
        <w:pStyle w:val="Standard"/>
      </w:pPr>
      <w:r>
        <w:t>La misura “Patti di Integrità” non è stata programmata nel PTPCT in esame o, laddove la misura sia stata già adottata negli anni precedenti, non si prevede di realizzare interventi idonei a garantire la cor</w:t>
      </w:r>
      <w:r>
        <w:t>retta e continua attuazione della stessa per le seguenti motivazioni: Non necessaria</w:t>
      </w:r>
    </w:p>
    <w:p w:rsidR="00120698" w:rsidRDefault="00120698">
      <w:pPr>
        <w:pStyle w:val="Standard"/>
      </w:pPr>
    </w:p>
    <w:p w:rsidR="00120698" w:rsidRDefault="00120698">
      <w:pPr>
        <w:pStyle w:val="Standard"/>
      </w:pPr>
      <w:bookmarkStart w:id="34" w:name="_Hlk88649032"/>
    </w:p>
    <w:bookmarkEnd w:id="34"/>
    <w:p w:rsidR="00120698" w:rsidRDefault="00120698">
      <w:pPr>
        <w:pStyle w:val="Standard"/>
        <w:rPr>
          <w:color w:val="000000"/>
        </w:rPr>
      </w:pPr>
    </w:p>
    <w:p w:rsidR="00120698" w:rsidRDefault="00120698">
      <w:pPr>
        <w:pStyle w:val="Standard"/>
      </w:pPr>
    </w:p>
    <w:p w:rsidR="00120698" w:rsidRDefault="003A31EC">
      <w:pPr>
        <w:pStyle w:val="Heading2"/>
      </w:pPr>
      <w:bookmarkStart w:id="35" w:name="__RefHeading__8367_997983355"/>
      <w:bookmarkStart w:id="36" w:name="_Toc88657661"/>
      <w:r>
        <w:t>Rapporti con i portatori di interessi particolari</w:t>
      </w:r>
      <w:bookmarkEnd w:id="35"/>
      <w:bookmarkEnd w:id="36"/>
    </w:p>
    <w:p w:rsidR="00120698" w:rsidRDefault="00120698">
      <w:pPr>
        <w:pStyle w:val="Standard"/>
      </w:pPr>
    </w:p>
    <w:p w:rsidR="00120698" w:rsidRDefault="003A31EC">
      <w:pPr>
        <w:pStyle w:val="Standard"/>
      </w:pPr>
      <w:r>
        <w:t>La misura “Rapporti con i portatori di interessi particolari” non è stata programmata nel PTPCT in esame o, laddove</w:t>
      </w:r>
      <w:r>
        <w:t xml:space="preserve"> la misura sia stata già adottata negli anni precedenti, non si prevede di realizzare interventi idonei a garantire la corretta e continua attuazione della stessa.</w:t>
      </w:r>
    </w:p>
    <w:p w:rsidR="00120698" w:rsidRDefault="00120698">
      <w:pPr>
        <w:pStyle w:val="Standard"/>
      </w:pPr>
    </w:p>
    <w:p w:rsidR="00120698" w:rsidRDefault="00120698">
      <w:pPr>
        <w:pStyle w:val="Standard"/>
      </w:pPr>
    </w:p>
    <w:p w:rsidR="00120698" w:rsidRDefault="003A31EC">
      <w:pPr>
        <w:pStyle w:val="Heading2"/>
      </w:pPr>
      <w:bookmarkStart w:id="37" w:name="__RefHeading__8369_997983355"/>
      <w:bookmarkStart w:id="38" w:name="_Toc88657662"/>
      <w:r>
        <w:t>Considerazioni conclusive sull’attuazione delle misure generali</w:t>
      </w:r>
      <w:bookmarkEnd w:id="37"/>
      <w:bookmarkEnd w:id="38"/>
    </w:p>
    <w:p w:rsidR="00120698" w:rsidRDefault="00120698">
      <w:pPr>
        <w:pStyle w:val="Standard"/>
      </w:pPr>
    </w:p>
    <w:p w:rsidR="00120698" w:rsidRDefault="003A31EC">
      <w:pPr>
        <w:pStyle w:val="Standard"/>
      </w:pPr>
      <w:r>
        <w:t>Il complesso delle misure</w:t>
      </w:r>
      <w:r>
        <w:t xml:space="preserve"> attuate ha avuto un effetto (diretto o indiretto):</w:t>
      </w:r>
      <w:r>
        <w:br/>
      </w:r>
      <w:r>
        <w:t xml:space="preserve">  - neutrale sulla qualità dei servizi </w:t>
      </w:r>
      <w:r>
        <w:br/>
      </w:r>
      <w:r>
        <w:t xml:space="preserve">  - positivo sull'efficienza dei servizi (es. in termini di riduzione dei tempi di erogazione dei servizi)</w:t>
      </w:r>
      <w:r>
        <w:br/>
      </w:r>
      <w:r>
        <w:t xml:space="preserve">  - neutrale sul funzionamento dell'amministrazione (es. </w:t>
      </w:r>
      <w:r>
        <w:t>in termini di semplificazione/snellimento delle procedure)</w:t>
      </w:r>
      <w:r>
        <w:br/>
      </w:r>
      <w:r>
        <w:t xml:space="preserve">  - positivo sulla diffusione della cultura della legalità</w:t>
      </w:r>
      <w:r>
        <w:br/>
      </w:r>
      <w:r>
        <w:t xml:space="preserve">  - positivo sulle relazioni con i cittadini</w:t>
      </w:r>
      <w:r>
        <w:br/>
      </w:r>
      <w:r>
        <w:t xml:space="preserve">  - positivo su Nient’altro</w:t>
      </w:r>
    </w:p>
    <w:p w:rsidR="00120698" w:rsidRDefault="00120698">
      <w:pPr>
        <w:pStyle w:val="Standard"/>
      </w:pPr>
    </w:p>
    <w:p w:rsidR="00120698" w:rsidRDefault="00120698">
      <w:pPr>
        <w:pStyle w:val="Standard"/>
      </w:pPr>
    </w:p>
    <w:p w:rsidR="00120698" w:rsidRDefault="003A31EC">
      <w:pPr>
        <w:pStyle w:val="Heading1"/>
      </w:pPr>
      <w:bookmarkStart w:id="39" w:name="__RefHeading__8371_997983355"/>
      <w:bookmarkStart w:id="40" w:name="_Toc88657663"/>
      <w:r>
        <w:t>RENDICONTAZIONE MISURE SPECIFICHE</w:t>
      </w:r>
      <w:bookmarkEnd w:id="39"/>
      <w:bookmarkEnd w:id="40"/>
    </w:p>
    <w:p w:rsidR="00120698" w:rsidRDefault="00120698">
      <w:pPr>
        <w:pStyle w:val="Standard"/>
      </w:pPr>
    </w:p>
    <w:p w:rsidR="00120698" w:rsidRDefault="00120698">
      <w:pPr>
        <w:pStyle w:val="Standard"/>
      </w:pPr>
    </w:p>
    <w:p w:rsidR="00120698" w:rsidRDefault="00120698">
      <w:pPr>
        <w:pStyle w:val="Standard"/>
      </w:pPr>
    </w:p>
    <w:p w:rsidR="00120698" w:rsidRDefault="003A31EC">
      <w:pPr>
        <w:pStyle w:val="Standard"/>
      </w:pPr>
      <w:r>
        <w:t xml:space="preserve">La presente sezione </w:t>
      </w:r>
      <w:r>
        <w:t>illustra l’andamento relativo all’attuazione delle misure specifiche per l’anno di riferimento del PTPCT.</w:t>
      </w:r>
    </w:p>
    <w:p w:rsidR="00120698" w:rsidRDefault="00120698">
      <w:pPr>
        <w:pStyle w:val="Standard"/>
      </w:pPr>
    </w:p>
    <w:p w:rsidR="00120698" w:rsidRDefault="003A31EC">
      <w:pPr>
        <w:pStyle w:val="Heading2"/>
      </w:pPr>
      <w:bookmarkStart w:id="41" w:name="_Toc88657664"/>
      <w:bookmarkStart w:id="42" w:name="__RefHeading__8373_997983355"/>
      <w:r>
        <w:t>Quadro di sintesi dell’attuazione delle misure specifiche</w:t>
      </w:r>
      <w:bookmarkEnd w:id="41"/>
      <w:bookmarkEnd w:id="42"/>
    </w:p>
    <w:p w:rsidR="00120698" w:rsidRDefault="00120698">
      <w:pPr>
        <w:pStyle w:val="Standard"/>
      </w:pPr>
    </w:p>
    <w:p w:rsidR="00120698" w:rsidRDefault="003A31EC">
      <w:pPr>
        <w:pStyle w:val="Standard"/>
      </w:pPr>
      <w:r>
        <w:t>Nel corso dell’annualità di riferimento, lo stato di programmazione e attuazione delle mi</w:t>
      </w:r>
      <w:r>
        <w:t>sure specifiche è sintetizzato nella seguente tabella</w:t>
      </w:r>
    </w:p>
    <w:p w:rsidR="00120698" w:rsidRDefault="00120698">
      <w:pPr>
        <w:pStyle w:val="Standard"/>
      </w:pPr>
    </w:p>
    <w:tbl>
      <w:tblPr>
        <w:tblW w:w="96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8"/>
        <w:gridCol w:w="1752"/>
        <w:gridCol w:w="1173"/>
        <w:gridCol w:w="1444"/>
        <w:gridCol w:w="1515"/>
      </w:tblGrid>
      <w:tr w:rsidR="00120698">
        <w:tblPrEx>
          <w:tblCellMar>
            <w:top w:w="0" w:type="dxa"/>
            <w:bottom w:w="0" w:type="dxa"/>
          </w:tblCellMar>
        </w:tblPrEx>
        <w:tc>
          <w:tcPr>
            <w:tcW w:w="3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Ambito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Pianificate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Attuate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Non attuate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% attuazione</w:t>
            </w:r>
          </w:p>
        </w:tc>
      </w:tr>
      <w:tr w:rsidR="00120698">
        <w:tblPrEx>
          <w:tblCellMar>
            <w:top w:w="0" w:type="dxa"/>
            <w:bottom w:w="0" w:type="dxa"/>
          </w:tblCellMar>
        </w:tblPrEx>
        <w:tc>
          <w:tcPr>
            <w:tcW w:w="3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</w:pPr>
            <w:r>
              <w:t xml:space="preserve"> - Non si applica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</w:pPr>
            <w:r>
              <w:t xml:space="preserve"> -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</w:pPr>
            <w:r>
              <w:t xml:space="preserve"> -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</w:pPr>
            <w:r>
              <w:t xml:space="preserve"> -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98" w:rsidRDefault="003A31EC">
            <w:pPr>
              <w:pStyle w:val="Standard"/>
            </w:pPr>
            <w:r>
              <w:t xml:space="preserve"> -</w:t>
            </w:r>
          </w:p>
        </w:tc>
      </w:tr>
    </w:tbl>
    <w:p w:rsidR="00120698" w:rsidRDefault="00120698">
      <w:pPr>
        <w:pStyle w:val="Standard"/>
      </w:pPr>
    </w:p>
    <w:p w:rsidR="00120698" w:rsidRDefault="00120698">
      <w:pPr>
        <w:pStyle w:val="Standard"/>
      </w:pPr>
    </w:p>
    <w:p w:rsidR="00120698" w:rsidRDefault="00120698">
      <w:pPr>
        <w:pStyle w:val="Standard"/>
      </w:pPr>
    </w:p>
    <w:p w:rsidR="00120698" w:rsidRDefault="00120698">
      <w:pPr>
        <w:pStyle w:val="Standard"/>
      </w:pPr>
    </w:p>
    <w:p w:rsidR="00120698" w:rsidRDefault="003A31EC">
      <w:pPr>
        <w:pStyle w:val="Heading1"/>
      </w:pPr>
      <w:bookmarkStart w:id="43" w:name="_Toc88657665"/>
      <w:bookmarkStart w:id="44" w:name="__RefHeading__8375_997983355"/>
      <w:r>
        <w:t>MONITORAGGIO GESTIONE DEL RISCHIO</w:t>
      </w:r>
      <w:bookmarkEnd w:id="43"/>
      <w:bookmarkEnd w:id="44"/>
    </w:p>
    <w:p w:rsidR="00120698" w:rsidRDefault="00120698">
      <w:pPr>
        <w:pStyle w:val="Standard"/>
      </w:pPr>
    </w:p>
    <w:p w:rsidR="00120698" w:rsidRDefault="003A31EC">
      <w:pPr>
        <w:pStyle w:val="Standard"/>
      </w:pPr>
      <w:r>
        <w:t>Nel corso dell'anno di riferimento del PTPCT, non sono pervenute segnalazioni per eventi corruttivi.</w:t>
      </w:r>
      <w:r>
        <w:br/>
      </w:r>
      <w:r>
        <w:t xml:space="preserve"> </w:t>
      </w:r>
      <w:r>
        <w:br/>
      </w:r>
      <w:r>
        <w:t>Si ritiene che la messa in atto del processo di gestione del rischio abbia generato dentro l’organizzazione i seguenti effetti:</w:t>
      </w:r>
      <w:r>
        <w:br/>
      </w:r>
      <w:r>
        <w:t xml:space="preserve">  - la consapevolezza </w:t>
      </w:r>
      <w:r>
        <w:t>del fenomeno corruttivo  è rimasta invariata</w:t>
      </w:r>
      <w:r>
        <w:br/>
      </w:r>
      <w:r>
        <w:t xml:space="preserve">  - la capacità di individuare e far emergere situazioni di rischio corruttivo e di intervenire con adeguati rimedi  è rimasta invariata</w:t>
      </w:r>
      <w:r>
        <w:br/>
      </w:r>
      <w:r>
        <w:t xml:space="preserve">  - la reputazione dell'ente  è rimasta invariata</w:t>
      </w:r>
    </w:p>
    <w:p w:rsidR="00120698" w:rsidRDefault="00120698">
      <w:pPr>
        <w:pStyle w:val="Standard"/>
      </w:pPr>
    </w:p>
    <w:p w:rsidR="00120698" w:rsidRDefault="00120698">
      <w:pPr>
        <w:pStyle w:val="Standard"/>
      </w:pPr>
    </w:p>
    <w:p w:rsidR="00120698" w:rsidRDefault="003A31EC">
      <w:pPr>
        <w:pStyle w:val="Heading1"/>
      </w:pPr>
      <w:bookmarkStart w:id="45" w:name="_Toc88657666"/>
      <w:bookmarkStart w:id="46" w:name="__RefHeading__8377_997983355"/>
      <w:r>
        <w:t>MONITORAGGIO PROCEDIME</w:t>
      </w:r>
      <w:r>
        <w:t>NTI PENALI</w:t>
      </w:r>
      <w:bookmarkEnd w:id="45"/>
      <w:bookmarkEnd w:id="46"/>
    </w:p>
    <w:p w:rsidR="00120698" w:rsidRDefault="00120698">
      <w:pPr>
        <w:pStyle w:val="Standard"/>
        <w:rPr>
          <w:color w:val="000000"/>
        </w:rPr>
      </w:pPr>
    </w:p>
    <w:p w:rsidR="00120698" w:rsidRDefault="003A31EC">
      <w:pPr>
        <w:pStyle w:val="Standard"/>
      </w:pPr>
      <w:r>
        <w:rPr>
          <w:color w:val="000000"/>
        </w:rPr>
        <w:t>Nell'anno di riferimento del PTPCT in esame non ci sono state denunce, riguardanti eventi corruttivi, a carico di dipendenti dell'amministrazione.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t xml:space="preserve">Nell'anno di riferimento del PTPCT l’amministrazione non ha avuto notizia da parte di propri </w:t>
      </w:r>
      <w:r>
        <w:rPr>
          <w:color w:val="000000"/>
        </w:rPr>
        <w:t>dipendenti di essere stati destinatari di un procedimento penale.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t>Nell'anno di riferimento del PTPCT non sono stati conclusi con provvedimento non definitivo, procedimenti penali a carico di dipendenti dell'amministrazione.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t>Nell'anno di riferimento del P</w:t>
      </w:r>
      <w:r>
        <w:rPr>
          <w:color w:val="000000"/>
        </w:rPr>
        <w:t>TPCT non sono stati conclusi con sentenza o altro provvedimento definitivo, procedimenti penali a carico di dipendenti dell'amministrazione.</w:t>
      </w:r>
    </w:p>
    <w:p w:rsidR="00120698" w:rsidRDefault="00120698">
      <w:pPr>
        <w:pStyle w:val="Standard"/>
      </w:pPr>
    </w:p>
    <w:p w:rsidR="00120698" w:rsidRDefault="00120698">
      <w:pPr>
        <w:pStyle w:val="Standard"/>
      </w:pPr>
    </w:p>
    <w:p w:rsidR="00120698" w:rsidRDefault="003A31EC">
      <w:pPr>
        <w:pStyle w:val="Heading1"/>
      </w:pPr>
      <w:bookmarkStart w:id="47" w:name="_Toc88657667"/>
      <w:bookmarkStart w:id="48" w:name="__RefHeading__8379_997983355"/>
      <w:r>
        <w:t>MONITORAGGIO PROCEDIMENTI DISCIPLINARI</w:t>
      </w:r>
      <w:bookmarkEnd w:id="47"/>
      <w:bookmarkEnd w:id="48"/>
    </w:p>
    <w:p w:rsidR="00120698" w:rsidRDefault="00120698">
      <w:pPr>
        <w:pStyle w:val="Standard"/>
      </w:pPr>
    </w:p>
    <w:p w:rsidR="00120698" w:rsidRDefault="003A31EC">
      <w:pPr>
        <w:pStyle w:val="Standard"/>
      </w:pPr>
      <w:r>
        <w:rPr>
          <w:color w:val="000000"/>
        </w:rPr>
        <w:br/>
      </w:r>
      <w:r>
        <w:rPr>
          <w:color w:val="000000"/>
        </w:rPr>
        <w:t xml:space="preserve">Nel corso dell’anno di riferimento del PTPCT non sono stati avviati </w:t>
      </w:r>
      <w:r>
        <w:rPr>
          <w:color w:val="000000"/>
        </w:rPr>
        <w:t>procedimenti disciplinari riconducibili ad eventi corruttivi a carico di dipendenti.</w:t>
      </w:r>
    </w:p>
    <w:p w:rsidR="00120698" w:rsidRDefault="00120698">
      <w:pPr>
        <w:pStyle w:val="Standard"/>
      </w:pPr>
    </w:p>
    <w:p w:rsidR="00120698" w:rsidRDefault="00120698">
      <w:pPr>
        <w:pStyle w:val="Standard"/>
      </w:pPr>
    </w:p>
    <w:p w:rsidR="00120698" w:rsidRDefault="003A31EC">
      <w:pPr>
        <w:pStyle w:val="Heading1"/>
      </w:pPr>
      <w:bookmarkStart w:id="49" w:name="_Toc88657668"/>
      <w:bookmarkStart w:id="50" w:name="__RefHeading__8381_997983355"/>
      <w:r>
        <w:t>CONSIDERAZIONI GENERALI</w:t>
      </w:r>
      <w:bookmarkEnd w:id="49"/>
      <w:bookmarkEnd w:id="50"/>
    </w:p>
    <w:p w:rsidR="00120698" w:rsidRDefault="00120698">
      <w:pPr>
        <w:pStyle w:val="Standard"/>
      </w:pPr>
    </w:p>
    <w:p w:rsidR="00120698" w:rsidRDefault="003A31EC">
      <w:pPr>
        <w:pStyle w:val="Standard"/>
      </w:pPr>
      <w:r>
        <w:t xml:space="preserve">Si ritiene che lo stato di attuazione del PTPCT (definito attraverso una valutazione sintetica del livello effettivo di attuazione del Piano e </w:t>
      </w:r>
      <w:r>
        <w:t>delle misure in esso contenute) sia sufficiente per le seguenti ragioni: Sufficiente</w:t>
      </w:r>
      <w:r>
        <w:br/>
      </w:r>
      <w:r>
        <w:t xml:space="preserve"> </w:t>
      </w:r>
      <w:r>
        <w:br/>
      </w:r>
      <w:r>
        <w:t>Si ritiene che l’idoneità complessiva della strategia di prevenzione della corruzione (definita attraverso una valutazione sintetica) con particolare riferimento alle mi</w:t>
      </w:r>
      <w:r>
        <w:t>sure previste nel Piano e attuate sia idoneo, per le seguenti ragioni: Idoneo</w:t>
      </w:r>
      <w:r>
        <w:br/>
      </w:r>
      <w:r>
        <w:t xml:space="preserve"> </w:t>
      </w:r>
      <w:r>
        <w:br/>
      </w:r>
      <w:r>
        <w:t>Si ritiene che l'esercizio del ruolo di impulso e coordinamento del RPCT rispetto alla messa in atto del processo di gestione del rischio (definito attraverso una valutazione s</w:t>
      </w:r>
      <w:r>
        <w:t>intetica) sia stato idoneo, per le seguenti ragioni:Idoneo</w:t>
      </w:r>
    </w:p>
    <w:p w:rsidR="00120698" w:rsidRDefault="00120698">
      <w:pPr>
        <w:pStyle w:val="Standard"/>
      </w:pPr>
    </w:p>
    <w:p w:rsidR="00120698" w:rsidRDefault="00120698">
      <w:pPr>
        <w:pStyle w:val="Standard"/>
      </w:pPr>
    </w:p>
    <w:p w:rsidR="00120698" w:rsidRDefault="003A31EC">
      <w:pPr>
        <w:pStyle w:val="Heading1"/>
      </w:pPr>
      <w:bookmarkStart w:id="51" w:name="__RefHeading__8383_997983355"/>
      <w:bookmarkStart w:id="52" w:name="_Toc88657669"/>
      <w:r>
        <w:t>MONITORAGGIO MISURE SPECIFICHE</w:t>
      </w:r>
      <w:bookmarkEnd w:id="51"/>
      <w:bookmarkEnd w:id="52"/>
    </w:p>
    <w:p w:rsidR="00120698" w:rsidRDefault="00120698">
      <w:pPr>
        <w:pStyle w:val="Standard"/>
      </w:pPr>
    </w:p>
    <w:p w:rsidR="00120698" w:rsidRDefault="003A31EC">
      <w:pPr>
        <w:pStyle w:val="Standard"/>
        <w:jc w:val="both"/>
      </w:pPr>
      <w:r>
        <w:t>Il presente allegato illustra l’andamento relativo all’attuazione delle singole misure specifiche programmate nell’anno di riferimento del PTPC.</w:t>
      </w:r>
    </w:p>
    <w:p w:rsidR="00120698" w:rsidRDefault="00120698">
      <w:pPr>
        <w:pStyle w:val="Standard"/>
      </w:pPr>
    </w:p>
    <w:p w:rsidR="00120698" w:rsidRDefault="003A31EC">
      <w:pPr>
        <w:pStyle w:val="Heading2"/>
      </w:pPr>
      <w:bookmarkStart w:id="53" w:name="__RefHeading__8385_997983355"/>
      <w:bookmarkStart w:id="54" w:name="_Toc88657670"/>
      <w:r>
        <w:t>Misure specifiche</w:t>
      </w:r>
      <w:r>
        <w:t xml:space="preserve"> di controllo</w:t>
      </w:r>
      <w:bookmarkEnd w:id="53"/>
      <w:bookmarkEnd w:id="54"/>
    </w:p>
    <w:p w:rsidR="00120698" w:rsidRDefault="00120698">
      <w:pPr>
        <w:pStyle w:val="Standard"/>
      </w:pPr>
    </w:p>
    <w:p w:rsidR="00120698" w:rsidRDefault="003A31EC">
      <w:pPr>
        <w:pStyle w:val="Standard"/>
      </w:pPr>
      <w:r>
        <w:t>Non sono state programmate misure specifiche di controllo.</w:t>
      </w:r>
    </w:p>
    <w:p w:rsidR="00120698" w:rsidRDefault="00120698">
      <w:pPr>
        <w:pStyle w:val="Standard"/>
      </w:pPr>
    </w:p>
    <w:p w:rsidR="00120698" w:rsidRDefault="00120698">
      <w:pPr>
        <w:pStyle w:val="Standard"/>
      </w:pPr>
    </w:p>
    <w:p w:rsidR="00120698" w:rsidRDefault="003A31EC">
      <w:pPr>
        <w:pStyle w:val="Heading2"/>
      </w:pPr>
      <w:bookmarkStart w:id="55" w:name="__RefHeading__8387_997983355"/>
      <w:bookmarkStart w:id="56" w:name="_Toc88657671"/>
      <w:r>
        <w:t>Misure specifiche di trasparenza</w:t>
      </w:r>
      <w:bookmarkEnd w:id="55"/>
      <w:bookmarkEnd w:id="56"/>
    </w:p>
    <w:p w:rsidR="00120698" w:rsidRDefault="00120698">
      <w:pPr>
        <w:pStyle w:val="Standard"/>
      </w:pPr>
    </w:p>
    <w:p w:rsidR="00120698" w:rsidRDefault="003A31EC">
      <w:pPr>
        <w:pStyle w:val="Standard"/>
      </w:pPr>
      <w:r>
        <w:t>Non sono state programmate misure specifiche di trasparenza.</w:t>
      </w:r>
    </w:p>
    <w:p w:rsidR="00120698" w:rsidRDefault="00120698">
      <w:pPr>
        <w:pStyle w:val="Standard"/>
      </w:pPr>
    </w:p>
    <w:p w:rsidR="00120698" w:rsidRDefault="00120698">
      <w:pPr>
        <w:pStyle w:val="Standard"/>
      </w:pPr>
    </w:p>
    <w:p w:rsidR="00120698" w:rsidRDefault="003A31EC">
      <w:pPr>
        <w:pStyle w:val="Heading2"/>
      </w:pPr>
      <w:bookmarkStart w:id="57" w:name="__RefHeading__8389_997983355"/>
      <w:bookmarkStart w:id="58" w:name="_Toc88657672"/>
      <w:r>
        <w:t xml:space="preserve">Misure specifiche di definizione e promozione dell’etica e di standard di </w:t>
      </w:r>
      <w:r>
        <w:t>comportamento</w:t>
      </w:r>
      <w:bookmarkEnd w:id="57"/>
      <w:bookmarkEnd w:id="58"/>
    </w:p>
    <w:p w:rsidR="00120698" w:rsidRDefault="00120698">
      <w:pPr>
        <w:pStyle w:val="Standard"/>
      </w:pPr>
    </w:p>
    <w:p w:rsidR="00120698" w:rsidRDefault="003A31EC">
      <w:pPr>
        <w:pStyle w:val="Standard"/>
      </w:pPr>
      <w:r>
        <w:t>Non sono state programmate misure specifiche di definizione e promozione dell’etica e di standard di comportamento.</w:t>
      </w:r>
    </w:p>
    <w:p w:rsidR="00120698" w:rsidRDefault="00120698">
      <w:pPr>
        <w:pStyle w:val="Standard"/>
      </w:pPr>
    </w:p>
    <w:p w:rsidR="00120698" w:rsidRDefault="00120698">
      <w:pPr>
        <w:pStyle w:val="Standard"/>
        <w:rPr>
          <w:u w:val="single"/>
        </w:rPr>
      </w:pPr>
    </w:p>
    <w:p w:rsidR="00120698" w:rsidRDefault="003A31EC">
      <w:pPr>
        <w:pStyle w:val="Heading2"/>
      </w:pPr>
      <w:bookmarkStart w:id="59" w:name="__RefHeading__8391_997983355"/>
      <w:bookmarkStart w:id="60" w:name="_Toc88657673"/>
      <w:r>
        <w:t>Misure specifiche di regolamentazione</w:t>
      </w:r>
      <w:bookmarkEnd w:id="59"/>
      <w:bookmarkEnd w:id="60"/>
    </w:p>
    <w:p w:rsidR="00120698" w:rsidRDefault="00120698">
      <w:pPr>
        <w:pStyle w:val="Standard"/>
        <w:rPr>
          <w:u w:val="single"/>
        </w:rPr>
      </w:pPr>
    </w:p>
    <w:p w:rsidR="00120698" w:rsidRDefault="003A31EC">
      <w:pPr>
        <w:pStyle w:val="Standard"/>
      </w:pPr>
      <w:r>
        <w:t>Non sono state programmate misure specifiche di regolamentazione.</w:t>
      </w:r>
    </w:p>
    <w:p w:rsidR="00120698" w:rsidRDefault="00120698">
      <w:pPr>
        <w:pStyle w:val="Standard"/>
      </w:pPr>
    </w:p>
    <w:p w:rsidR="00120698" w:rsidRDefault="00120698">
      <w:pPr>
        <w:pStyle w:val="Standard"/>
      </w:pPr>
    </w:p>
    <w:p w:rsidR="00120698" w:rsidRDefault="003A31EC">
      <w:pPr>
        <w:pStyle w:val="Heading2"/>
      </w:pPr>
      <w:bookmarkStart w:id="61" w:name="__RefHeading__8393_997983355"/>
      <w:bookmarkStart w:id="62" w:name="_Toc88657674"/>
      <w:r>
        <w:t>Misure specifich</w:t>
      </w:r>
      <w:r>
        <w:t>e di semplificazione</w:t>
      </w:r>
      <w:bookmarkEnd w:id="61"/>
      <w:bookmarkEnd w:id="62"/>
    </w:p>
    <w:p w:rsidR="00120698" w:rsidRDefault="00120698">
      <w:pPr>
        <w:pStyle w:val="Standard"/>
      </w:pPr>
    </w:p>
    <w:p w:rsidR="00120698" w:rsidRDefault="003A31EC">
      <w:pPr>
        <w:pStyle w:val="Standard"/>
      </w:pPr>
      <w:r>
        <w:t>Non sono state programmate misure specifiche di semplificazione.</w:t>
      </w:r>
    </w:p>
    <w:p w:rsidR="00120698" w:rsidRDefault="00120698">
      <w:pPr>
        <w:pStyle w:val="Standard"/>
      </w:pPr>
    </w:p>
    <w:p w:rsidR="00120698" w:rsidRDefault="00120698">
      <w:pPr>
        <w:pStyle w:val="Standard"/>
      </w:pPr>
    </w:p>
    <w:p w:rsidR="00120698" w:rsidRDefault="003A31EC">
      <w:pPr>
        <w:pStyle w:val="Heading2"/>
      </w:pPr>
      <w:bookmarkStart w:id="63" w:name="__RefHeading__8395_997983355"/>
      <w:bookmarkStart w:id="64" w:name="_Toc88657675"/>
      <w:r>
        <w:t>Misure specifiche di formazione</w:t>
      </w:r>
      <w:bookmarkEnd w:id="63"/>
      <w:bookmarkEnd w:id="64"/>
    </w:p>
    <w:p w:rsidR="00120698" w:rsidRDefault="00120698">
      <w:pPr>
        <w:pStyle w:val="Standard"/>
      </w:pPr>
    </w:p>
    <w:p w:rsidR="00120698" w:rsidRDefault="003A31EC">
      <w:pPr>
        <w:pStyle w:val="Standard"/>
      </w:pPr>
      <w:r>
        <w:t>Non sono state programmate misure specifiche di formazione.</w:t>
      </w:r>
    </w:p>
    <w:p w:rsidR="00120698" w:rsidRDefault="00120698">
      <w:pPr>
        <w:pStyle w:val="Standard"/>
      </w:pPr>
    </w:p>
    <w:p w:rsidR="00120698" w:rsidRDefault="00120698">
      <w:pPr>
        <w:pStyle w:val="Standard"/>
      </w:pPr>
    </w:p>
    <w:p w:rsidR="00120698" w:rsidRDefault="003A31EC">
      <w:pPr>
        <w:pStyle w:val="Heading2"/>
      </w:pPr>
      <w:bookmarkStart w:id="65" w:name="__RefHeading__8397_997983355"/>
      <w:bookmarkStart w:id="66" w:name="_Toc88657676"/>
      <w:r>
        <w:t>Misure specifiche di rotazione</w:t>
      </w:r>
      <w:bookmarkEnd w:id="65"/>
      <w:bookmarkEnd w:id="66"/>
    </w:p>
    <w:p w:rsidR="00120698" w:rsidRDefault="00120698">
      <w:pPr>
        <w:pStyle w:val="Standard"/>
      </w:pPr>
    </w:p>
    <w:p w:rsidR="00120698" w:rsidRDefault="003A31EC">
      <w:pPr>
        <w:pStyle w:val="Standard"/>
      </w:pPr>
      <w:r>
        <w:t>Non sono state programmate misure specif</w:t>
      </w:r>
      <w:r>
        <w:t>iche di rotazione.</w:t>
      </w:r>
    </w:p>
    <w:p w:rsidR="00120698" w:rsidRDefault="00120698">
      <w:pPr>
        <w:pStyle w:val="Standard"/>
      </w:pPr>
    </w:p>
    <w:p w:rsidR="00120698" w:rsidRDefault="00120698">
      <w:pPr>
        <w:pStyle w:val="Standard"/>
        <w:rPr>
          <w:bCs/>
        </w:rPr>
      </w:pPr>
    </w:p>
    <w:p w:rsidR="00120698" w:rsidRDefault="003A31EC">
      <w:pPr>
        <w:pStyle w:val="Heading2"/>
      </w:pPr>
      <w:bookmarkStart w:id="67" w:name="__RefHeading__8399_997983355"/>
      <w:bookmarkStart w:id="68" w:name="_Toc88657677"/>
      <w:r>
        <w:t>Misure specifiche di disciplina del conflitto di interessi</w:t>
      </w:r>
      <w:bookmarkEnd w:id="67"/>
      <w:bookmarkEnd w:id="68"/>
    </w:p>
    <w:p w:rsidR="00120698" w:rsidRDefault="00120698">
      <w:pPr>
        <w:pStyle w:val="Standard"/>
      </w:pPr>
    </w:p>
    <w:p w:rsidR="00120698" w:rsidRDefault="003A31EC">
      <w:pPr>
        <w:pStyle w:val="Standard"/>
      </w:pPr>
      <w:r>
        <w:t>Non sono state programmate misure specifiche di disciplina del conflitto di interessi.</w:t>
      </w:r>
    </w:p>
    <w:p w:rsidR="00120698" w:rsidRDefault="00120698">
      <w:pPr>
        <w:pStyle w:val="Standard"/>
      </w:pPr>
    </w:p>
    <w:p w:rsidR="00120698" w:rsidRDefault="00120698">
      <w:pPr>
        <w:pStyle w:val="Standard"/>
      </w:pPr>
    </w:p>
    <w:sectPr w:rsidR="00120698">
      <w:footerReference w:type="even" r:id="rId41"/>
      <w:footerReference w:type="default" r:id="rId42"/>
      <w:pgSz w:w="11906" w:h="16838"/>
      <w:pgMar w:top="1417" w:right="1134" w:bottom="1134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A31EC">
      <w:r>
        <w:separator/>
      </w:r>
    </w:p>
  </w:endnote>
  <w:endnote w:type="continuationSeparator" w:id="0">
    <w:p w:rsidR="00000000" w:rsidRDefault="003A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37E" w:rsidRDefault="003A31EC">
    <w:pPr>
      <w:pStyle w:val="Footer"/>
      <w:ind w:right="360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37E" w:rsidRDefault="003A31EC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A31EC">
      <w:r>
        <w:rPr>
          <w:color w:val="000000"/>
        </w:rPr>
        <w:separator/>
      </w:r>
    </w:p>
  </w:footnote>
  <w:footnote w:type="continuationSeparator" w:id="0">
    <w:p w:rsidR="00000000" w:rsidRDefault="003A3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A02"/>
    <w:multiLevelType w:val="multilevel"/>
    <w:tmpl w:val="EA44E38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2F106A1"/>
    <w:multiLevelType w:val="multilevel"/>
    <w:tmpl w:val="00CAA4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900" w:hanging="54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067B50A5"/>
    <w:multiLevelType w:val="multilevel"/>
    <w:tmpl w:val="19A406D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6953411"/>
    <w:multiLevelType w:val="multilevel"/>
    <w:tmpl w:val="494C441C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7DC2307"/>
    <w:multiLevelType w:val="multilevel"/>
    <w:tmpl w:val="17C6478C"/>
    <w:styleLink w:val="Outline"/>
    <w:lvl w:ilvl="0">
      <w:start w:val="1"/>
      <w:numFmt w:val="decimal"/>
      <w:lvlText w:val="SEZIONE 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C6B1CE6"/>
    <w:multiLevelType w:val="multilevel"/>
    <w:tmpl w:val="A7D4208A"/>
    <w:styleLink w:val="WWNum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DEA6963"/>
    <w:multiLevelType w:val="multilevel"/>
    <w:tmpl w:val="88606176"/>
    <w:styleLink w:val="WWNum43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11256DA5"/>
    <w:multiLevelType w:val="multilevel"/>
    <w:tmpl w:val="29202714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29E5B02"/>
    <w:multiLevelType w:val="multilevel"/>
    <w:tmpl w:val="70D071E4"/>
    <w:styleLink w:val="WWNum2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18A36AB2"/>
    <w:multiLevelType w:val="multilevel"/>
    <w:tmpl w:val="0900C482"/>
    <w:styleLink w:val="WWNum20"/>
    <w:lvl w:ilvl="0">
      <w:numFmt w:val="bullet"/>
      <w:lvlText w:val=""/>
      <w:lvlJc w:val="left"/>
      <w:pPr>
        <w:ind w:left="1428" w:hanging="360"/>
      </w:pPr>
    </w:lvl>
    <w:lvl w:ilvl="1">
      <w:numFmt w:val="bullet"/>
      <w:lvlText w:val="o"/>
      <w:lvlJc w:val="left"/>
      <w:pPr>
        <w:ind w:left="2148" w:hanging="360"/>
      </w:pPr>
      <w:rPr>
        <w:rFonts w:cs="Courier New"/>
      </w:rPr>
    </w:lvl>
    <w:lvl w:ilvl="2">
      <w:numFmt w:val="bullet"/>
      <w:lvlText w:val=""/>
      <w:lvlJc w:val="left"/>
      <w:pPr>
        <w:ind w:left="2868" w:hanging="360"/>
      </w:pPr>
    </w:lvl>
    <w:lvl w:ilvl="3">
      <w:numFmt w:val="bullet"/>
      <w:lvlText w:val=""/>
      <w:lvlJc w:val="left"/>
      <w:pPr>
        <w:ind w:left="3588" w:hanging="360"/>
      </w:pPr>
    </w:lvl>
    <w:lvl w:ilvl="4">
      <w:numFmt w:val="bullet"/>
      <w:lvlText w:val="o"/>
      <w:lvlJc w:val="left"/>
      <w:pPr>
        <w:ind w:left="4308" w:hanging="360"/>
      </w:pPr>
      <w:rPr>
        <w:rFonts w:cs="Courier New"/>
      </w:rPr>
    </w:lvl>
    <w:lvl w:ilvl="5">
      <w:numFmt w:val="bullet"/>
      <w:lvlText w:val=""/>
      <w:lvlJc w:val="left"/>
      <w:pPr>
        <w:ind w:left="5028" w:hanging="360"/>
      </w:pPr>
    </w:lvl>
    <w:lvl w:ilvl="6">
      <w:numFmt w:val="bullet"/>
      <w:lvlText w:val=""/>
      <w:lvlJc w:val="left"/>
      <w:pPr>
        <w:ind w:left="5748" w:hanging="360"/>
      </w:pPr>
    </w:lvl>
    <w:lvl w:ilvl="7">
      <w:numFmt w:val="bullet"/>
      <w:lvlText w:val="o"/>
      <w:lvlJc w:val="left"/>
      <w:pPr>
        <w:ind w:left="6468" w:hanging="360"/>
      </w:pPr>
      <w:rPr>
        <w:rFonts w:cs="Courier New"/>
      </w:rPr>
    </w:lvl>
    <w:lvl w:ilvl="8">
      <w:numFmt w:val="bullet"/>
      <w:lvlText w:val=""/>
      <w:lvlJc w:val="left"/>
      <w:pPr>
        <w:ind w:left="7188" w:hanging="360"/>
      </w:pPr>
    </w:lvl>
  </w:abstractNum>
  <w:abstractNum w:abstractNumId="10" w15:restartNumberingAfterBreak="0">
    <w:nsid w:val="1A7B1BBA"/>
    <w:multiLevelType w:val="multilevel"/>
    <w:tmpl w:val="B0FC432E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0A1050E"/>
    <w:multiLevelType w:val="multilevel"/>
    <w:tmpl w:val="1B8044A4"/>
    <w:styleLink w:val="WWNum3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21642F84"/>
    <w:multiLevelType w:val="multilevel"/>
    <w:tmpl w:val="48F4212E"/>
    <w:styleLink w:val="WWNum44"/>
    <w:lvl w:ilvl="0">
      <w:start w:val="1"/>
      <w:numFmt w:val="decimal"/>
      <w:lvlText w:val="SEZIONE 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2B405A6"/>
    <w:multiLevelType w:val="multilevel"/>
    <w:tmpl w:val="9CA2768A"/>
    <w:styleLink w:val="WWNum4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279E254F"/>
    <w:multiLevelType w:val="multilevel"/>
    <w:tmpl w:val="E12835A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2AAD57DE"/>
    <w:multiLevelType w:val="multilevel"/>
    <w:tmpl w:val="5DECBAFA"/>
    <w:styleLink w:val="WWNum3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2C0D1952"/>
    <w:multiLevelType w:val="multilevel"/>
    <w:tmpl w:val="449EBA7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2FB039A5"/>
    <w:multiLevelType w:val="multilevel"/>
    <w:tmpl w:val="648474C6"/>
    <w:styleLink w:val="WWNum3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345C7660"/>
    <w:multiLevelType w:val="multilevel"/>
    <w:tmpl w:val="34868606"/>
    <w:styleLink w:val="WWNum1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35890A9A"/>
    <w:multiLevelType w:val="multilevel"/>
    <w:tmpl w:val="D4D0BEE2"/>
    <w:styleLink w:val="WWNum2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 w15:restartNumberingAfterBreak="0">
    <w:nsid w:val="3B8A6643"/>
    <w:multiLevelType w:val="multilevel"/>
    <w:tmpl w:val="CEF2D0CE"/>
    <w:styleLink w:val="WWNum2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3C106563"/>
    <w:multiLevelType w:val="multilevel"/>
    <w:tmpl w:val="B9546EFA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44245B8F"/>
    <w:multiLevelType w:val="multilevel"/>
    <w:tmpl w:val="98E29D44"/>
    <w:styleLink w:val="WWNum2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3" w15:restartNumberingAfterBreak="0">
    <w:nsid w:val="46E04B37"/>
    <w:multiLevelType w:val="multilevel"/>
    <w:tmpl w:val="8BE418BE"/>
    <w:styleLink w:val="WWNum2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4" w15:restartNumberingAfterBreak="0">
    <w:nsid w:val="485F2B6A"/>
    <w:multiLevelType w:val="multilevel"/>
    <w:tmpl w:val="9D5C654C"/>
    <w:styleLink w:val="WWNum4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E8F0A87"/>
    <w:multiLevelType w:val="multilevel"/>
    <w:tmpl w:val="3CDAD374"/>
    <w:styleLink w:val="WWNum39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4F5E11B5"/>
    <w:multiLevelType w:val="multilevel"/>
    <w:tmpl w:val="FB50D7DC"/>
    <w:styleLink w:val="WWNum1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7" w15:restartNumberingAfterBreak="0">
    <w:nsid w:val="4F900AE6"/>
    <w:multiLevelType w:val="multilevel"/>
    <w:tmpl w:val="96DACD34"/>
    <w:styleLink w:val="WWNum17"/>
    <w:lvl w:ilvl="0">
      <w:numFmt w:val="bullet"/>
      <w:lvlText w:val="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28" w15:restartNumberingAfterBreak="0">
    <w:nsid w:val="52DC0E4E"/>
    <w:multiLevelType w:val="multilevel"/>
    <w:tmpl w:val="DC0C5410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567334D8"/>
    <w:multiLevelType w:val="multilevel"/>
    <w:tmpl w:val="EA14B7A2"/>
    <w:styleLink w:val="WWNum41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 w15:restartNumberingAfterBreak="0">
    <w:nsid w:val="588F2803"/>
    <w:multiLevelType w:val="multilevel"/>
    <w:tmpl w:val="73145CA4"/>
    <w:styleLink w:val="WWNum2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58D23EB2"/>
    <w:multiLevelType w:val="multilevel"/>
    <w:tmpl w:val="EE142F2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59607D10"/>
    <w:multiLevelType w:val="multilevel"/>
    <w:tmpl w:val="604CA126"/>
    <w:styleLink w:val="WWNum30"/>
    <w:lvl w:ilvl="0">
      <w:numFmt w:val="bullet"/>
      <w:lvlText w:val=""/>
      <w:lvlJc w:val="left"/>
      <w:pPr>
        <w:ind w:left="1428" w:hanging="360"/>
      </w:pPr>
    </w:lvl>
    <w:lvl w:ilvl="1">
      <w:numFmt w:val="bullet"/>
      <w:lvlText w:val="o"/>
      <w:lvlJc w:val="left"/>
      <w:pPr>
        <w:ind w:left="2148" w:hanging="360"/>
      </w:pPr>
      <w:rPr>
        <w:rFonts w:cs="Courier New"/>
      </w:rPr>
    </w:lvl>
    <w:lvl w:ilvl="2">
      <w:numFmt w:val="bullet"/>
      <w:lvlText w:val=""/>
      <w:lvlJc w:val="left"/>
      <w:pPr>
        <w:ind w:left="2868" w:hanging="360"/>
      </w:pPr>
    </w:lvl>
    <w:lvl w:ilvl="3">
      <w:numFmt w:val="bullet"/>
      <w:lvlText w:val=""/>
      <w:lvlJc w:val="left"/>
      <w:pPr>
        <w:ind w:left="3588" w:hanging="360"/>
      </w:pPr>
    </w:lvl>
    <w:lvl w:ilvl="4">
      <w:numFmt w:val="bullet"/>
      <w:lvlText w:val="o"/>
      <w:lvlJc w:val="left"/>
      <w:pPr>
        <w:ind w:left="4308" w:hanging="360"/>
      </w:pPr>
      <w:rPr>
        <w:rFonts w:cs="Courier New"/>
      </w:rPr>
    </w:lvl>
    <w:lvl w:ilvl="5">
      <w:numFmt w:val="bullet"/>
      <w:lvlText w:val=""/>
      <w:lvlJc w:val="left"/>
      <w:pPr>
        <w:ind w:left="5028" w:hanging="360"/>
      </w:pPr>
    </w:lvl>
    <w:lvl w:ilvl="6">
      <w:numFmt w:val="bullet"/>
      <w:lvlText w:val=""/>
      <w:lvlJc w:val="left"/>
      <w:pPr>
        <w:ind w:left="5748" w:hanging="360"/>
      </w:pPr>
    </w:lvl>
    <w:lvl w:ilvl="7">
      <w:numFmt w:val="bullet"/>
      <w:lvlText w:val="o"/>
      <w:lvlJc w:val="left"/>
      <w:pPr>
        <w:ind w:left="6468" w:hanging="360"/>
      </w:pPr>
      <w:rPr>
        <w:rFonts w:cs="Courier New"/>
      </w:rPr>
    </w:lvl>
    <w:lvl w:ilvl="8">
      <w:numFmt w:val="bullet"/>
      <w:lvlText w:val=""/>
      <w:lvlJc w:val="left"/>
      <w:pPr>
        <w:ind w:left="7188" w:hanging="360"/>
      </w:pPr>
    </w:lvl>
  </w:abstractNum>
  <w:abstractNum w:abstractNumId="33" w15:restartNumberingAfterBreak="0">
    <w:nsid w:val="5B771F53"/>
    <w:multiLevelType w:val="multilevel"/>
    <w:tmpl w:val="EF9E485C"/>
    <w:styleLink w:val="WWNum2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4" w15:restartNumberingAfterBreak="0">
    <w:nsid w:val="5EAC2961"/>
    <w:multiLevelType w:val="multilevel"/>
    <w:tmpl w:val="6C22E67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5EE42137"/>
    <w:multiLevelType w:val="multilevel"/>
    <w:tmpl w:val="D2827898"/>
    <w:styleLink w:val="WWNum3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6" w15:restartNumberingAfterBreak="0">
    <w:nsid w:val="636261A0"/>
    <w:multiLevelType w:val="multilevel"/>
    <w:tmpl w:val="26420836"/>
    <w:styleLink w:val="WWNum1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7" w15:restartNumberingAfterBreak="0">
    <w:nsid w:val="673E006F"/>
    <w:multiLevelType w:val="multilevel"/>
    <w:tmpl w:val="C7AE100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67DA6668"/>
    <w:multiLevelType w:val="multilevel"/>
    <w:tmpl w:val="EFF8B73C"/>
    <w:styleLink w:val="WWNum3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68670E3B"/>
    <w:multiLevelType w:val="multilevel"/>
    <w:tmpl w:val="40B4BF04"/>
    <w:styleLink w:val="WWNum2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0" w15:restartNumberingAfterBreak="0">
    <w:nsid w:val="6A8F4749"/>
    <w:multiLevelType w:val="multilevel"/>
    <w:tmpl w:val="F3CA3E36"/>
    <w:styleLink w:val="WWNum3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6E051574"/>
    <w:multiLevelType w:val="multilevel"/>
    <w:tmpl w:val="54BC3FC2"/>
    <w:styleLink w:val="WWNum3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2" w15:restartNumberingAfterBreak="0">
    <w:nsid w:val="74CD1F3D"/>
    <w:multiLevelType w:val="multilevel"/>
    <w:tmpl w:val="3872F01A"/>
    <w:styleLink w:val="WWNum2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3" w15:restartNumberingAfterBreak="0">
    <w:nsid w:val="754946D1"/>
    <w:multiLevelType w:val="multilevel"/>
    <w:tmpl w:val="2A1E184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7D0A386D"/>
    <w:multiLevelType w:val="multilevel"/>
    <w:tmpl w:val="DD0223C8"/>
    <w:styleLink w:val="WWNum3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40"/>
  </w:num>
  <w:num w:numId="5">
    <w:abstractNumId w:val="1"/>
  </w:num>
  <w:num w:numId="6">
    <w:abstractNumId w:val="2"/>
  </w:num>
  <w:num w:numId="7">
    <w:abstractNumId w:val="28"/>
  </w:num>
  <w:num w:numId="8">
    <w:abstractNumId w:val="16"/>
  </w:num>
  <w:num w:numId="9">
    <w:abstractNumId w:val="31"/>
  </w:num>
  <w:num w:numId="10">
    <w:abstractNumId w:val="10"/>
  </w:num>
  <w:num w:numId="11">
    <w:abstractNumId w:val="34"/>
  </w:num>
  <w:num w:numId="12">
    <w:abstractNumId w:val="0"/>
  </w:num>
  <w:num w:numId="13">
    <w:abstractNumId w:val="21"/>
  </w:num>
  <w:num w:numId="14">
    <w:abstractNumId w:val="43"/>
  </w:num>
  <w:num w:numId="15">
    <w:abstractNumId w:val="37"/>
  </w:num>
  <w:num w:numId="16">
    <w:abstractNumId w:val="7"/>
  </w:num>
  <w:num w:numId="17">
    <w:abstractNumId w:val="26"/>
  </w:num>
  <w:num w:numId="18">
    <w:abstractNumId w:val="27"/>
  </w:num>
  <w:num w:numId="19">
    <w:abstractNumId w:val="36"/>
  </w:num>
  <w:num w:numId="20">
    <w:abstractNumId w:val="18"/>
  </w:num>
  <w:num w:numId="21">
    <w:abstractNumId w:val="9"/>
  </w:num>
  <w:num w:numId="22">
    <w:abstractNumId w:val="8"/>
  </w:num>
  <w:num w:numId="23">
    <w:abstractNumId w:val="30"/>
  </w:num>
  <w:num w:numId="24">
    <w:abstractNumId w:val="20"/>
  </w:num>
  <w:num w:numId="25">
    <w:abstractNumId w:val="42"/>
  </w:num>
  <w:num w:numId="26">
    <w:abstractNumId w:val="39"/>
  </w:num>
  <w:num w:numId="27">
    <w:abstractNumId w:val="22"/>
  </w:num>
  <w:num w:numId="28">
    <w:abstractNumId w:val="33"/>
  </w:num>
  <w:num w:numId="29">
    <w:abstractNumId w:val="19"/>
  </w:num>
  <w:num w:numId="30">
    <w:abstractNumId w:val="23"/>
  </w:num>
  <w:num w:numId="31">
    <w:abstractNumId w:val="32"/>
  </w:num>
  <w:num w:numId="32">
    <w:abstractNumId w:val="38"/>
  </w:num>
  <w:num w:numId="33">
    <w:abstractNumId w:val="44"/>
  </w:num>
  <w:num w:numId="34">
    <w:abstractNumId w:val="3"/>
  </w:num>
  <w:num w:numId="35">
    <w:abstractNumId w:val="15"/>
  </w:num>
  <w:num w:numId="36">
    <w:abstractNumId w:val="35"/>
  </w:num>
  <w:num w:numId="37">
    <w:abstractNumId w:val="41"/>
  </w:num>
  <w:num w:numId="38">
    <w:abstractNumId w:val="17"/>
  </w:num>
  <w:num w:numId="39">
    <w:abstractNumId w:val="11"/>
  </w:num>
  <w:num w:numId="40">
    <w:abstractNumId w:val="25"/>
  </w:num>
  <w:num w:numId="41">
    <w:abstractNumId w:val="24"/>
  </w:num>
  <w:num w:numId="42">
    <w:abstractNumId w:val="29"/>
  </w:num>
  <w:num w:numId="43">
    <w:abstractNumId w:val="13"/>
  </w:num>
  <w:num w:numId="44">
    <w:abstractNumId w:val="6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20698"/>
    <w:rsid w:val="00120698"/>
    <w:rsid w:val="003A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79DF1D4-7F95-40E4-9061-E9A390B7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4"/>
        <w:szCs w:val="24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keepLines/>
      <w:pBdr>
        <w:bottom w:val="single" w:sz="4" w:space="1" w:color="00000A"/>
      </w:pBdr>
      <w:spacing w:before="240"/>
      <w:outlineLvl w:val="0"/>
    </w:pPr>
    <w:rPr>
      <w:rFonts w:ascii="Calibri Light" w:hAnsi="Calibri Light" w:cs="F"/>
      <w:b/>
      <w:color w:val="2F5496"/>
      <w:sz w:val="32"/>
      <w:szCs w:val="32"/>
    </w:rPr>
  </w:style>
  <w:style w:type="paragraph" w:styleId="Heading2">
    <w:name w:val="heading 2"/>
    <w:basedOn w:val="Standard"/>
    <w:next w:val="Textbody"/>
    <w:pPr>
      <w:keepNext/>
      <w:keepLines/>
      <w:pBdr>
        <w:bottom w:val="single" w:sz="4" w:space="1" w:color="00000A"/>
      </w:pBdr>
      <w:spacing w:before="40"/>
      <w:outlineLvl w:val="1"/>
    </w:pPr>
    <w:rPr>
      <w:rFonts w:ascii="Calibri Light" w:hAnsi="Calibri Light" w:cs="F"/>
      <w:i/>
      <w:color w:val="4472C4"/>
      <w:sz w:val="26"/>
      <w:szCs w:val="26"/>
    </w:rPr>
  </w:style>
  <w:style w:type="paragraph" w:styleId="Heading3">
    <w:name w:val="heading 3"/>
    <w:basedOn w:val="Standard"/>
    <w:next w:val="Textbody"/>
    <w:pPr>
      <w:keepNext/>
      <w:keepLines/>
      <w:spacing w:before="40"/>
      <w:outlineLvl w:val="2"/>
    </w:pPr>
    <w:rPr>
      <w:rFonts w:ascii="Calibri Light" w:hAnsi="Calibri Light" w:cs="F"/>
      <w:color w:val="1F3763"/>
    </w:rPr>
  </w:style>
  <w:style w:type="paragraph" w:styleId="Heading4">
    <w:name w:val="heading 4"/>
    <w:basedOn w:val="Standard"/>
    <w:next w:val="Textbody"/>
    <w:pPr>
      <w:keepNext/>
      <w:keepLines/>
      <w:spacing w:before="40"/>
      <w:outlineLvl w:val="3"/>
    </w:pPr>
    <w:rPr>
      <w:rFonts w:ascii="Calibri Light" w:hAnsi="Calibri Light" w:cs="F"/>
      <w:i/>
      <w:iCs/>
      <w:color w:val="2F5496"/>
    </w:rPr>
  </w:style>
  <w:style w:type="paragraph" w:styleId="Heading5">
    <w:name w:val="heading 5"/>
    <w:basedOn w:val="Standard"/>
    <w:next w:val="Textbody"/>
    <w:pPr>
      <w:keepNext/>
      <w:keepLines/>
      <w:spacing w:before="40"/>
      <w:outlineLvl w:val="4"/>
    </w:pPr>
    <w:rPr>
      <w:rFonts w:ascii="Calibri Light" w:hAnsi="Calibri Light" w:cs="F"/>
      <w:color w:val="2F5496"/>
    </w:rPr>
  </w:style>
  <w:style w:type="paragraph" w:styleId="Heading6">
    <w:name w:val="heading 6"/>
    <w:basedOn w:val="Standard"/>
    <w:next w:val="Textbody"/>
    <w:pPr>
      <w:keepNext/>
      <w:keepLines/>
      <w:spacing w:before="40"/>
      <w:outlineLvl w:val="5"/>
    </w:pPr>
    <w:rPr>
      <w:rFonts w:ascii="Calibri Light" w:hAnsi="Calibri Light" w:cs="F"/>
      <w:color w:val="1F3763"/>
    </w:rPr>
  </w:style>
  <w:style w:type="paragraph" w:styleId="Heading7">
    <w:name w:val="heading 7"/>
    <w:basedOn w:val="Standard"/>
    <w:next w:val="Textbody"/>
    <w:pPr>
      <w:keepNext/>
      <w:keepLines/>
      <w:spacing w:before="40"/>
      <w:outlineLvl w:val="6"/>
    </w:pPr>
    <w:rPr>
      <w:rFonts w:ascii="Calibri Light" w:hAnsi="Calibri Light" w:cs="F"/>
      <w:i/>
      <w:iCs/>
      <w:color w:val="1F3763"/>
    </w:rPr>
  </w:style>
  <w:style w:type="paragraph" w:styleId="Heading8">
    <w:name w:val="heading 8"/>
    <w:basedOn w:val="Standard"/>
    <w:next w:val="Textbody"/>
    <w:pPr>
      <w:keepNext/>
      <w:keepLines/>
      <w:spacing w:before="40"/>
      <w:outlineLvl w:val="7"/>
    </w:pPr>
    <w:rPr>
      <w:rFonts w:ascii="Calibri Light" w:hAnsi="Calibri Light" w:cs="F"/>
      <w:color w:val="272727"/>
      <w:sz w:val="21"/>
      <w:szCs w:val="21"/>
    </w:rPr>
  </w:style>
  <w:style w:type="paragraph" w:styleId="Heading9">
    <w:name w:val="heading 9"/>
    <w:basedOn w:val="Standard"/>
    <w:next w:val="Textbody"/>
    <w:pPr>
      <w:keepNext/>
      <w:keepLines/>
      <w:spacing w:before="40"/>
      <w:outlineLvl w:val="8"/>
    </w:pPr>
    <w:rPr>
      <w:rFonts w:ascii="Calibri Light" w:hAnsi="Calibri Light" w:cs="F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">
    <w:name w:val="Outline"/>
    <w:basedOn w:val="NoList"/>
    <w:pPr>
      <w:numPr>
        <w:numId w:val="1"/>
      </w:numPr>
    </w:pPr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pacing w:after="200"/>
    </w:pPr>
    <w:rPr>
      <w:i/>
      <w:iCs/>
      <w:color w:val="44546A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tentsHeading">
    <w:name w:val="Contents Heading"/>
    <w:basedOn w:val="Heading1"/>
    <w:pPr>
      <w:suppressLineNumbers/>
      <w:pBdr>
        <w:bottom w:val="none" w:sz="0" w:space="0" w:color="auto"/>
      </w:pBdr>
      <w:spacing w:before="480" w:line="276" w:lineRule="auto"/>
    </w:pPr>
    <w:rPr>
      <w:bCs/>
      <w:sz w:val="28"/>
      <w:szCs w:val="28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before="120"/>
    </w:pPr>
    <w:rPr>
      <w:rFonts w:cs="Calibri"/>
      <w:b/>
      <w:bCs/>
      <w:i/>
      <w:iCs/>
      <w:lang w:eastAsia="en-US"/>
    </w:rPr>
  </w:style>
  <w:style w:type="paragraph" w:customStyle="1" w:styleId="Contents2">
    <w:name w:val="Contents 2"/>
    <w:basedOn w:val="Standard"/>
    <w:pPr>
      <w:tabs>
        <w:tab w:val="right" w:leader="dot" w:pos="9595"/>
      </w:tabs>
      <w:spacing w:before="120"/>
      <w:ind w:left="240"/>
    </w:pPr>
    <w:rPr>
      <w:b/>
      <w:bCs/>
      <w:sz w:val="22"/>
      <w:szCs w:val="22"/>
    </w:rPr>
  </w:style>
  <w:style w:type="paragraph" w:customStyle="1" w:styleId="Contents3">
    <w:name w:val="Contents 3"/>
    <w:basedOn w:val="Standard"/>
    <w:pPr>
      <w:tabs>
        <w:tab w:val="right" w:leader="dot" w:pos="9552"/>
      </w:tabs>
      <w:ind w:left="480"/>
    </w:pPr>
    <w:rPr>
      <w:sz w:val="20"/>
      <w:szCs w:val="20"/>
    </w:rPr>
  </w:style>
  <w:style w:type="paragraph" w:customStyle="1" w:styleId="Contents4">
    <w:name w:val="Contents 4"/>
    <w:basedOn w:val="Standard"/>
    <w:pPr>
      <w:tabs>
        <w:tab w:val="right" w:leader="dot" w:pos="9509"/>
      </w:tabs>
      <w:ind w:left="720"/>
    </w:pPr>
    <w:rPr>
      <w:sz w:val="20"/>
      <w:szCs w:val="20"/>
    </w:rPr>
  </w:style>
  <w:style w:type="paragraph" w:customStyle="1" w:styleId="Contents5">
    <w:name w:val="Contents 5"/>
    <w:basedOn w:val="Standard"/>
    <w:pPr>
      <w:tabs>
        <w:tab w:val="right" w:leader="dot" w:pos="9466"/>
      </w:tabs>
      <w:ind w:left="960"/>
    </w:pPr>
    <w:rPr>
      <w:sz w:val="20"/>
      <w:szCs w:val="20"/>
    </w:rPr>
  </w:style>
  <w:style w:type="paragraph" w:customStyle="1" w:styleId="Contents6">
    <w:name w:val="Contents 6"/>
    <w:basedOn w:val="Standard"/>
    <w:pPr>
      <w:tabs>
        <w:tab w:val="right" w:leader="dot" w:pos="9423"/>
      </w:tabs>
      <w:ind w:left="1200"/>
    </w:pPr>
    <w:rPr>
      <w:sz w:val="20"/>
      <w:szCs w:val="20"/>
    </w:rPr>
  </w:style>
  <w:style w:type="paragraph" w:customStyle="1" w:styleId="Contents7">
    <w:name w:val="Contents 7"/>
    <w:basedOn w:val="Standard"/>
    <w:pPr>
      <w:tabs>
        <w:tab w:val="right" w:leader="dot" w:pos="9380"/>
      </w:tabs>
      <w:ind w:left="1440"/>
    </w:pPr>
    <w:rPr>
      <w:sz w:val="20"/>
      <w:szCs w:val="20"/>
    </w:rPr>
  </w:style>
  <w:style w:type="paragraph" w:customStyle="1" w:styleId="Contents8">
    <w:name w:val="Contents 8"/>
    <w:basedOn w:val="Standard"/>
    <w:pPr>
      <w:tabs>
        <w:tab w:val="right" w:leader="dot" w:pos="9337"/>
      </w:tabs>
      <w:ind w:left="1680"/>
    </w:pPr>
    <w:rPr>
      <w:sz w:val="20"/>
      <w:szCs w:val="20"/>
    </w:rPr>
  </w:style>
  <w:style w:type="paragraph" w:customStyle="1" w:styleId="Contents9">
    <w:name w:val="Contents 9"/>
    <w:basedOn w:val="Standard"/>
    <w:pPr>
      <w:tabs>
        <w:tab w:val="right" w:leader="dot" w:pos="9294"/>
      </w:tabs>
      <w:ind w:left="1920"/>
    </w:pPr>
    <w:rPr>
      <w:sz w:val="20"/>
      <w:szCs w:val="20"/>
    </w:rPr>
  </w:style>
  <w:style w:type="paragraph" w:styleId="ListParagraph">
    <w:name w:val="List Paragraph"/>
    <w:basedOn w:val="Standard"/>
    <w:pPr>
      <w:ind w:left="720"/>
    </w:p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styleId="BalloonText">
    <w:name w:val="Balloon Text"/>
    <w:basedOn w:val="Standard"/>
    <w:rPr>
      <w:sz w:val="18"/>
      <w:szCs w:val="18"/>
    </w:r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ubtitle">
    <w:name w:val="Subtitle"/>
    <w:basedOn w:val="Standard"/>
    <w:next w:val="Textbody"/>
    <w:pPr>
      <w:spacing w:after="160"/>
    </w:pPr>
    <w:rPr>
      <w:rFonts w:ascii="Calibri" w:hAnsi="Calibri" w:cs="F"/>
      <w:i/>
      <w:iCs/>
      <w:color w:val="5A5A5A"/>
      <w:spacing w:val="15"/>
      <w:sz w:val="22"/>
      <w:szCs w:val="22"/>
    </w:rPr>
  </w:style>
  <w:style w:type="character" w:customStyle="1" w:styleId="PidipaginaCarattere">
    <w:name w:val="Piè di pagina Carattere"/>
    <w:basedOn w:val="DefaultParagraphFont"/>
  </w:style>
  <w:style w:type="character" w:styleId="PageNumber">
    <w:name w:val="page number"/>
    <w:basedOn w:val="DefaultParagraphFont"/>
  </w:style>
  <w:style w:type="character" w:customStyle="1" w:styleId="Titolo1Carattere">
    <w:name w:val="Titolo 1 Carattere"/>
    <w:basedOn w:val="DefaultParagraphFont"/>
    <w:rPr>
      <w:rFonts w:ascii="Calibri Light" w:hAnsi="Calibri Light" w:cs="F"/>
      <w:b/>
      <w:color w:val="2F5496"/>
      <w:sz w:val="32"/>
      <w:szCs w:val="32"/>
      <w:lang w:eastAsia="it-IT"/>
    </w:rPr>
  </w:style>
  <w:style w:type="character" w:customStyle="1" w:styleId="Titolo2Carattere">
    <w:name w:val="Titolo 2 Carattere"/>
    <w:basedOn w:val="DefaultParagraphFont"/>
    <w:rPr>
      <w:rFonts w:ascii="Calibri Light" w:hAnsi="Calibri Light" w:cs="F"/>
      <w:i/>
      <w:color w:val="4472C4"/>
      <w:sz w:val="26"/>
      <w:szCs w:val="26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TestocommentoCarattere">
    <w:name w:val="Testo commento Carattere"/>
    <w:basedOn w:val="DefaultParagraphFont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character" w:customStyle="1" w:styleId="TestofumettoCarattere">
    <w:name w:val="Testo fumetto Carattere"/>
    <w:basedOn w:val="DefaultParagraphFont"/>
    <w:rPr>
      <w:rFonts w:ascii="Times New Roman" w:hAnsi="Times New Roman"/>
      <w:sz w:val="18"/>
      <w:szCs w:val="18"/>
    </w:rPr>
  </w:style>
  <w:style w:type="character" w:customStyle="1" w:styleId="Titolo3Carattere">
    <w:name w:val="Titolo 3 Carattere"/>
    <w:basedOn w:val="DefaultParagraphFont"/>
    <w:rPr>
      <w:rFonts w:ascii="Calibri Light" w:hAnsi="Calibri Light" w:cs="F"/>
      <w:color w:val="1F3763"/>
      <w:lang w:eastAsia="it-IT"/>
    </w:rPr>
  </w:style>
  <w:style w:type="character" w:customStyle="1" w:styleId="Titolo4Carattere">
    <w:name w:val="Titolo 4 Carattere"/>
    <w:basedOn w:val="DefaultParagraphFont"/>
    <w:rPr>
      <w:rFonts w:ascii="Calibri Light" w:hAnsi="Calibri Light" w:cs="F"/>
      <w:i/>
      <w:iCs/>
      <w:color w:val="2F5496"/>
      <w:lang w:eastAsia="it-IT"/>
    </w:rPr>
  </w:style>
  <w:style w:type="character" w:customStyle="1" w:styleId="Titolo5Carattere">
    <w:name w:val="Titolo 5 Carattere"/>
    <w:basedOn w:val="DefaultParagraphFont"/>
    <w:rPr>
      <w:rFonts w:ascii="Calibri Light" w:hAnsi="Calibri Light" w:cs="F"/>
      <w:color w:val="2F5496"/>
      <w:lang w:eastAsia="it-IT"/>
    </w:rPr>
  </w:style>
  <w:style w:type="character" w:customStyle="1" w:styleId="Titolo6Carattere">
    <w:name w:val="Titolo 6 Carattere"/>
    <w:basedOn w:val="DefaultParagraphFont"/>
    <w:rPr>
      <w:rFonts w:ascii="Calibri Light" w:hAnsi="Calibri Light" w:cs="F"/>
      <w:color w:val="1F3763"/>
      <w:lang w:eastAsia="it-IT"/>
    </w:rPr>
  </w:style>
  <w:style w:type="character" w:customStyle="1" w:styleId="Titolo7Carattere">
    <w:name w:val="Titolo 7 Carattere"/>
    <w:basedOn w:val="DefaultParagraphFont"/>
    <w:rPr>
      <w:rFonts w:ascii="Calibri Light" w:hAnsi="Calibri Light" w:cs="F"/>
      <w:i/>
      <w:iCs/>
      <w:color w:val="1F3763"/>
      <w:lang w:eastAsia="it-IT"/>
    </w:rPr>
  </w:style>
  <w:style w:type="character" w:customStyle="1" w:styleId="Titolo8Carattere">
    <w:name w:val="Titolo 8 Carattere"/>
    <w:basedOn w:val="DefaultParagraphFont"/>
    <w:rPr>
      <w:rFonts w:ascii="Calibri Light" w:hAnsi="Calibri Light" w:cs="F"/>
      <w:color w:val="272727"/>
      <w:sz w:val="21"/>
      <w:szCs w:val="21"/>
      <w:lang w:eastAsia="it-IT"/>
    </w:rPr>
  </w:style>
  <w:style w:type="character" w:customStyle="1" w:styleId="Titolo9Carattere">
    <w:name w:val="Titolo 9 Carattere"/>
    <w:basedOn w:val="DefaultParagraphFont"/>
    <w:rPr>
      <w:rFonts w:ascii="Calibri Light" w:hAnsi="Calibri Light" w:cs="F"/>
      <w:i/>
      <w:iCs/>
      <w:color w:val="272727"/>
      <w:sz w:val="21"/>
      <w:szCs w:val="21"/>
      <w:lang w:eastAsia="it-IT"/>
    </w:rPr>
  </w:style>
  <w:style w:type="character" w:customStyle="1" w:styleId="IntestazioneCarattere">
    <w:name w:val="Intestazione Carattere"/>
    <w:basedOn w:val="DefaultParagraphFont"/>
    <w:rPr>
      <w:rFonts w:ascii="Times New Roman" w:eastAsia="Times New Roman" w:hAnsi="Times New Roman" w:cs="Times New Roman"/>
      <w:lang w:eastAsia="it-IT"/>
    </w:rPr>
  </w:style>
  <w:style w:type="character" w:customStyle="1" w:styleId="SottotitoloCarattere">
    <w:name w:val="Sottotitolo Carattere"/>
    <w:basedOn w:val="DefaultParagraphFont"/>
    <w:rPr>
      <w:rFonts w:cs="F"/>
      <w:color w:val="5A5A5A"/>
      <w:spacing w:val="15"/>
      <w:sz w:val="22"/>
      <w:szCs w:val="22"/>
      <w:lang w:eastAsia="it-IT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  <w:style w:type="numbering" w:customStyle="1" w:styleId="WWNum5">
    <w:name w:val="WWNum5"/>
    <w:basedOn w:val="NoList"/>
    <w:pPr>
      <w:numPr>
        <w:numId w:val="6"/>
      </w:numPr>
    </w:pPr>
  </w:style>
  <w:style w:type="numbering" w:customStyle="1" w:styleId="WWNum6">
    <w:name w:val="WWNum6"/>
    <w:basedOn w:val="NoList"/>
    <w:pPr>
      <w:numPr>
        <w:numId w:val="7"/>
      </w:numPr>
    </w:pPr>
  </w:style>
  <w:style w:type="numbering" w:customStyle="1" w:styleId="WWNum7">
    <w:name w:val="WWNum7"/>
    <w:basedOn w:val="NoList"/>
    <w:pPr>
      <w:numPr>
        <w:numId w:val="8"/>
      </w:numPr>
    </w:pPr>
  </w:style>
  <w:style w:type="numbering" w:customStyle="1" w:styleId="WWNum8">
    <w:name w:val="WWNum8"/>
    <w:basedOn w:val="NoList"/>
    <w:pPr>
      <w:numPr>
        <w:numId w:val="9"/>
      </w:numPr>
    </w:pPr>
  </w:style>
  <w:style w:type="numbering" w:customStyle="1" w:styleId="WWNum9">
    <w:name w:val="WWNum9"/>
    <w:basedOn w:val="NoList"/>
    <w:pPr>
      <w:numPr>
        <w:numId w:val="10"/>
      </w:numPr>
    </w:pPr>
  </w:style>
  <w:style w:type="numbering" w:customStyle="1" w:styleId="WWNum10">
    <w:name w:val="WWNum10"/>
    <w:basedOn w:val="NoList"/>
    <w:pPr>
      <w:numPr>
        <w:numId w:val="11"/>
      </w:numPr>
    </w:pPr>
  </w:style>
  <w:style w:type="numbering" w:customStyle="1" w:styleId="WWNum11">
    <w:name w:val="WWNum11"/>
    <w:basedOn w:val="NoList"/>
    <w:pPr>
      <w:numPr>
        <w:numId w:val="12"/>
      </w:numPr>
    </w:pPr>
  </w:style>
  <w:style w:type="numbering" w:customStyle="1" w:styleId="WWNum12">
    <w:name w:val="WWNum12"/>
    <w:basedOn w:val="NoList"/>
    <w:pPr>
      <w:numPr>
        <w:numId w:val="13"/>
      </w:numPr>
    </w:pPr>
  </w:style>
  <w:style w:type="numbering" w:customStyle="1" w:styleId="WWNum13">
    <w:name w:val="WWNum13"/>
    <w:basedOn w:val="NoList"/>
    <w:pPr>
      <w:numPr>
        <w:numId w:val="14"/>
      </w:numPr>
    </w:pPr>
  </w:style>
  <w:style w:type="numbering" w:customStyle="1" w:styleId="WWNum14">
    <w:name w:val="WWNum14"/>
    <w:basedOn w:val="NoList"/>
    <w:pPr>
      <w:numPr>
        <w:numId w:val="15"/>
      </w:numPr>
    </w:pPr>
  </w:style>
  <w:style w:type="numbering" w:customStyle="1" w:styleId="WWNum15">
    <w:name w:val="WWNum15"/>
    <w:basedOn w:val="NoList"/>
    <w:pPr>
      <w:numPr>
        <w:numId w:val="16"/>
      </w:numPr>
    </w:pPr>
  </w:style>
  <w:style w:type="numbering" w:customStyle="1" w:styleId="WWNum16">
    <w:name w:val="WWNum16"/>
    <w:basedOn w:val="NoList"/>
    <w:pPr>
      <w:numPr>
        <w:numId w:val="17"/>
      </w:numPr>
    </w:pPr>
  </w:style>
  <w:style w:type="numbering" w:customStyle="1" w:styleId="WWNum17">
    <w:name w:val="WWNum17"/>
    <w:basedOn w:val="NoList"/>
    <w:pPr>
      <w:numPr>
        <w:numId w:val="18"/>
      </w:numPr>
    </w:pPr>
  </w:style>
  <w:style w:type="numbering" w:customStyle="1" w:styleId="WWNum18">
    <w:name w:val="WWNum18"/>
    <w:basedOn w:val="NoList"/>
    <w:pPr>
      <w:numPr>
        <w:numId w:val="19"/>
      </w:numPr>
    </w:pPr>
  </w:style>
  <w:style w:type="numbering" w:customStyle="1" w:styleId="WWNum19">
    <w:name w:val="WWNum19"/>
    <w:basedOn w:val="NoList"/>
    <w:pPr>
      <w:numPr>
        <w:numId w:val="20"/>
      </w:numPr>
    </w:pPr>
  </w:style>
  <w:style w:type="numbering" w:customStyle="1" w:styleId="WWNum20">
    <w:name w:val="WWNum20"/>
    <w:basedOn w:val="NoList"/>
    <w:pPr>
      <w:numPr>
        <w:numId w:val="21"/>
      </w:numPr>
    </w:pPr>
  </w:style>
  <w:style w:type="numbering" w:customStyle="1" w:styleId="WWNum21">
    <w:name w:val="WWNum21"/>
    <w:basedOn w:val="NoList"/>
    <w:pPr>
      <w:numPr>
        <w:numId w:val="22"/>
      </w:numPr>
    </w:pPr>
  </w:style>
  <w:style w:type="numbering" w:customStyle="1" w:styleId="WWNum22">
    <w:name w:val="WWNum22"/>
    <w:basedOn w:val="NoList"/>
    <w:pPr>
      <w:numPr>
        <w:numId w:val="23"/>
      </w:numPr>
    </w:pPr>
  </w:style>
  <w:style w:type="numbering" w:customStyle="1" w:styleId="WWNum23">
    <w:name w:val="WWNum23"/>
    <w:basedOn w:val="NoList"/>
    <w:pPr>
      <w:numPr>
        <w:numId w:val="24"/>
      </w:numPr>
    </w:pPr>
  </w:style>
  <w:style w:type="numbering" w:customStyle="1" w:styleId="WWNum24">
    <w:name w:val="WWNum24"/>
    <w:basedOn w:val="NoList"/>
    <w:pPr>
      <w:numPr>
        <w:numId w:val="25"/>
      </w:numPr>
    </w:pPr>
  </w:style>
  <w:style w:type="numbering" w:customStyle="1" w:styleId="WWNum25">
    <w:name w:val="WWNum25"/>
    <w:basedOn w:val="NoList"/>
    <w:pPr>
      <w:numPr>
        <w:numId w:val="26"/>
      </w:numPr>
    </w:pPr>
  </w:style>
  <w:style w:type="numbering" w:customStyle="1" w:styleId="WWNum26">
    <w:name w:val="WWNum26"/>
    <w:basedOn w:val="NoList"/>
    <w:pPr>
      <w:numPr>
        <w:numId w:val="27"/>
      </w:numPr>
    </w:pPr>
  </w:style>
  <w:style w:type="numbering" w:customStyle="1" w:styleId="WWNum27">
    <w:name w:val="WWNum27"/>
    <w:basedOn w:val="NoList"/>
    <w:pPr>
      <w:numPr>
        <w:numId w:val="28"/>
      </w:numPr>
    </w:pPr>
  </w:style>
  <w:style w:type="numbering" w:customStyle="1" w:styleId="WWNum28">
    <w:name w:val="WWNum28"/>
    <w:basedOn w:val="NoList"/>
    <w:pPr>
      <w:numPr>
        <w:numId w:val="29"/>
      </w:numPr>
    </w:pPr>
  </w:style>
  <w:style w:type="numbering" w:customStyle="1" w:styleId="WWNum29">
    <w:name w:val="WWNum29"/>
    <w:basedOn w:val="NoList"/>
    <w:pPr>
      <w:numPr>
        <w:numId w:val="30"/>
      </w:numPr>
    </w:pPr>
  </w:style>
  <w:style w:type="numbering" w:customStyle="1" w:styleId="WWNum30">
    <w:name w:val="WWNum30"/>
    <w:basedOn w:val="NoList"/>
    <w:pPr>
      <w:numPr>
        <w:numId w:val="31"/>
      </w:numPr>
    </w:pPr>
  </w:style>
  <w:style w:type="numbering" w:customStyle="1" w:styleId="WWNum31">
    <w:name w:val="WWNum31"/>
    <w:basedOn w:val="NoList"/>
    <w:pPr>
      <w:numPr>
        <w:numId w:val="32"/>
      </w:numPr>
    </w:pPr>
  </w:style>
  <w:style w:type="numbering" w:customStyle="1" w:styleId="WWNum32">
    <w:name w:val="WWNum32"/>
    <w:basedOn w:val="NoList"/>
    <w:pPr>
      <w:numPr>
        <w:numId w:val="33"/>
      </w:numPr>
    </w:pPr>
  </w:style>
  <w:style w:type="numbering" w:customStyle="1" w:styleId="WWNum33">
    <w:name w:val="WWNum33"/>
    <w:basedOn w:val="NoList"/>
    <w:pPr>
      <w:numPr>
        <w:numId w:val="34"/>
      </w:numPr>
    </w:pPr>
  </w:style>
  <w:style w:type="numbering" w:customStyle="1" w:styleId="WWNum34">
    <w:name w:val="WWNum34"/>
    <w:basedOn w:val="NoList"/>
    <w:pPr>
      <w:numPr>
        <w:numId w:val="35"/>
      </w:numPr>
    </w:pPr>
  </w:style>
  <w:style w:type="numbering" w:customStyle="1" w:styleId="WWNum35">
    <w:name w:val="WWNum35"/>
    <w:basedOn w:val="NoList"/>
    <w:pPr>
      <w:numPr>
        <w:numId w:val="36"/>
      </w:numPr>
    </w:pPr>
  </w:style>
  <w:style w:type="numbering" w:customStyle="1" w:styleId="WWNum36">
    <w:name w:val="WWNum36"/>
    <w:basedOn w:val="NoList"/>
    <w:pPr>
      <w:numPr>
        <w:numId w:val="37"/>
      </w:numPr>
    </w:pPr>
  </w:style>
  <w:style w:type="numbering" w:customStyle="1" w:styleId="WWNum37">
    <w:name w:val="WWNum37"/>
    <w:basedOn w:val="NoList"/>
    <w:pPr>
      <w:numPr>
        <w:numId w:val="38"/>
      </w:numPr>
    </w:pPr>
  </w:style>
  <w:style w:type="numbering" w:customStyle="1" w:styleId="WWNum38">
    <w:name w:val="WWNum38"/>
    <w:basedOn w:val="NoList"/>
    <w:pPr>
      <w:numPr>
        <w:numId w:val="39"/>
      </w:numPr>
    </w:pPr>
  </w:style>
  <w:style w:type="numbering" w:customStyle="1" w:styleId="WWNum39">
    <w:name w:val="WWNum39"/>
    <w:basedOn w:val="NoList"/>
    <w:pPr>
      <w:numPr>
        <w:numId w:val="40"/>
      </w:numPr>
    </w:pPr>
  </w:style>
  <w:style w:type="numbering" w:customStyle="1" w:styleId="WWNum40">
    <w:name w:val="WWNum40"/>
    <w:basedOn w:val="NoList"/>
    <w:pPr>
      <w:numPr>
        <w:numId w:val="41"/>
      </w:numPr>
    </w:pPr>
  </w:style>
  <w:style w:type="numbering" w:customStyle="1" w:styleId="WWNum41">
    <w:name w:val="WWNum41"/>
    <w:basedOn w:val="NoList"/>
    <w:pPr>
      <w:numPr>
        <w:numId w:val="42"/>
      </w:numPr>
    </w:pPr>
  </w:style>
  <w:style w:type="numbering" w:customStyle="1" w:styleId="WWNum42">
    <w:name w:val="WWNum42"/>
    <w:basedOn w:val="NoList"/>
    <w:pPr>
      <w:numPr>
        <w:numId w:val="43"/>
      </w:numPr>
    </w:pPr>
  </w:style>
  <w:style w:type="numbering" w:customStyle="1" w:styleId="WWNum43">
    <w:name w:val="WWNum43"/>
    <w:basedOn w:val="NoList"/>
    <w:pPr>
      <w:numPr>
        <w:numId w:val="44"/>
      </w:numPr>
    </w:pPr>
  </w:style>
  <w:style w:type="numbering" w:customStyle="1" w:styleId="WWNum44">
    <w:name w:val="WWNum44"/>
    <w:basedOn w:val="NoList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__RefHeading__8347_997983355" TargetMode="External"/><Relationship Id="rId18" Type="http://schemas.openxmlformats.org/officeDocument/2006/relationships/hyperlink" Target="#__RefHeading__8357_997983355" TargetMode="External"/><Relationship Id="rId26" Type="http://schemas.openxmlformats.org/officeDocument/2006/relationships/hyperlink" Target="#__RefHeading__8373_997983355" TargetMode="External"/><Relationship Id="rId39" Type="http://schemas.openxmlformats.org/officeDocument/2006/relationships/hyperlink" Target="#__RefHeading__8399_997983355" TargetMode="External"/><Relationship Id="rId21" Type="http://schemas.openxmlformats.org/officeDocument/2006/relationships/hyperlink" Target="#__RefHeading__8363_997983355" TargetMode="External"/><Relationship Id="rId34" Type="http://schemas.openxmlformats.org/officeDocument/2006/relationships/hyperlink" Target="#__RefHeading__8389_997983355" TargetMode="External"/><Relationship Id="rId42" Type="http://schemas.openxmlformats.org/officeDocument/2006/relationships/footer" Target="footer2.xml"/><Relationship Id="rId7" Type="http://schemas.openxmlformats.org/officeDocument/2006/relationships/hyperlink" Target="#__RefHeading__8335_997983355" TargetMode="External"/><Relationship Id="rId2" Type="http://schemas.openxmlformats.org/officeDocument/2006/relationships/styles" Target="styles.xml"/><Relationship Id="rId16" Type="http://schemas.openxmlformats.org/officeDocument/2006/relationships/hyperlink" Target="#__RefHeading__8353_997983355" TargetMode="External"/><Relationship Id="rId20" Type="http://schemas.openxmlformats.org/officeDocument/2006/relationships/hyperlink" Target="#__RefHeading__8361_997983355" TargetMode="External"/><Relationship Id="rId29" Type="http://schemas.openxmlformats.org/officeDocument/2006/relationships/hyperlink" Target="#__RefHeading__8379_997983355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#__RefHeading__8343_997983355" TargetMode="External"/><Relationship Id="rId24" Type="http://schemas.openxmlformats.org/officeDocument/2006/relationships/hyperlink" Target="#__RefHeading__8369_997983355" TargetMode="External"/><Relationship Id="rId32" Type="http://schemas.openxmlformats.org/officeDocument/2006/relationships/hyperlink" Target="#__RefHeading__8385_997983355" TargetMode="External"/><Relationship Id="rId37" Type="http://schemas.openxmlformats.org/officeDocument/2006/relationships/hyperlink" Target="#__RefHeading__8395_997983355" TargetMode="External"/><Relationship Id="rId40" Type="http://schemas.openxmlformats.org/officeDocument/2006/relationships/hyperlink" Target="#_Toc88657645" TargetMode="External"/><Relationship Id="rId5" Type="http://schemas.openxmlformats.org/officeDocument/2006/relationships/footnotes" Target="footnotes.xml"/><Relationship Id="rId15" Type="http://schemas.openxmlformats.org/officeDocument/2006/relationships/hyperlink" Target="#__RefHeading__8351_997983355" TargetMode="External"/><Relationship Id="rId23" Type="http://schemas.openxmlformats.org/officeDocument/2006/relationships/hyperlink" Target="#__RefHeading__8367_997983355" TargetMode="External"/><Relationship Id="rId28" Type="http://schemas.openxmlformats.org/officeDocument/2006/relationships/hyperlink" Target="#__RefHeading__8377_997983355" TargetMode="External"/><Relationship Id="rId36" Type="http://schemas.openxmlformats.org/officeDocument/2006/relationships/hyperlink" Target="#__RefHeading__8393_997983355" TargetMode="External"/><Relationship Id="rId10" Type="http://schemas.openxmlformats.org/officeDocument/2006/relationships/hyperlink" Target="#__RefHeading__8341_997983355" TargetMode="External"/><Relationship Id="rId19" Type="http://schemas.openxmlformats.org/officeDocument/2006/relationships/hyperlink" Target="#__RefHeading__8359_997983355" TargetMode="External"/><Relationship Id="rId31" Type="http://schemas.openxmlformats.org/officeDocument/2006/relationships/hyperlink" Target="#__RefHeading__8383_997983355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#__RefHeading__8339_997983355" TargetMode="External"/><Relationship Id="rId14" Type="http://schemas.openxmlformats.org/officeDocument/2006/relationships/hyperlink" Target="#__RefHeading__8349_997983355" TargetMode="External"/><Relationship Id="rId22" Type="http://schemas.openxmlformats.org/officeDocument/2006/relationships/hyperlink" Target="#__RefHeading__8365_997983355" TargetMode="External"/><Relationship Id="rId27" Type="http://schemas.openxmlformats.org/officeDocument/2006/relationships/hyperlink" Target="#__RefHeading__8375_997983355" TargetMode="External"/><Relationship Id="rId30" Type="http://schemas.openxmlformats.org/officeDocument/2006/relationships/hyperlink" Target="#__RefHeading__8381_997983355" TargetMode="External"/><Relationship Id="rId35" Type="http://schemas.openxmlformats.org/officeDocument/2006/relationships/hyperlink" Target="#__RefHeading__8391_997983355" TargetMode="External"/><Relationship Id="rId43" Type="http://schemas.openxmlformats.org/officeDocument/2006/relationships/fontTable" Target="fontTable.xml"/><Relationship Id="rId8" Type="http://schemas.openxmlformats.org/officeDocument/2006/relationships/hyperlink" Target="#__RefHeading__8337_997983355" TargetMode="External"/><Relationship Id="rId3" Type="http://schemas.openxmlformats.org/officeDocument/2006/relationships/settings" Target="settings.xml"/><Relationship Id="rId12" Type="http://schemas.openxmlformats.org/officeDocument/2006/relationships/hyperlink" Target="#__RefHeading__8345_997983355" TargetMode="External"/><Relationship Id="rId17" Type="http://schemas.openxmlformats.org/officeDocument/2006/relationships/hyperlink" Target="#__RefHeading__8355_997983355" TargetMode="External"/><Relationship Id="rId25" Type="http://schemas.openxmlformats.org/officeDocument/2006/relationships/hyperlink" Target="#__RefHeading__8371_997983355" TargetMode="External"/><Relationship Id="rId33" Type="http://schemas.openxmlformats.org/officeDocument/2006/relationships/hyperlink" Target="#__RefHeading__8387_997983355" TargetMode="External"/><Relationship Id="rId38" Type="http://schemas.openxmlformats.org/officeDocument/2006/relationships/hyperlink" Target="#__RefHeading__8397_9979833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2029</Words>
  <Characters>11571</Characters>
  <Application>Microsoft Office Word</Application>
  <DocSecurity>4</DocSecurity>
  <Lines>96</Lines>
  <Paragraphs>27</Paragraphs>
  <ScaleCrop>false</ScaleCrop>
  <Company/>
  <LinksUpToDate>false</LinksUpToDate>
  <CharactersWithSpaces>13573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word</cp:lastModifiedBy>
  <cp:revision>2</cp:revision>
  <cp:lastPrinted>2019-09-03T12:09:00Z</cp:lastPrinted>
  <dcterms:created xsi:type="dcterms:W3CDTF">2022-02-25T09:00:00Z</dcterms:created>
  <dcterms:modified xsi:type="dcterms:W3CDTF">2022-02-25T09:00:00Z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